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E88B3">
      <w:pPr>
        <w:ind w:firstLine="475" w:firstLineChars="197"/>
        <w:rPr>
          <w:rFonts w:hint="eastAsia" w:ascii="Arial" w:hAnsi="Arial" w:cs="Arial"/>
          <w:b/>
          <w:sz w:val="24"/>
        </w:rPr>
      </w:pPr>
    </w:p>
    <w:p w14:paraId="5BEA3C11">
      <w:pPr>
        <w:jc w:val="both"/>
        <w:rPr>
          <w:rFonts w:hint="eastAsia" w:ascii="黑体" w:eastAsia="黑体"/>
          <w:b/>
          <w:bCs/>
          <w:color w:val="465C38"/>
          <w:sz w:val="44"/>
          <w:szCs w:val="44"/>
        </w:rPr>
      </w:pPr>
      <w:r>
        <w:rPr>
          <w:rFonts w:hint="eastAsia" w:ascii="黑体" w:eastAsia="黑体"/>
          <w:b/>
          <w:bCs/>
          <w:color w:val="465C38"/>
          <w:sz w:val="44"/>
          <w:szCs w:val="44"/>
          <w:lang w:val="en-US" w:eastAsia="zh-CN"/>
        </w:rPr>
        <w:t>*********</w:t>
      </w:r>
      <w:commentRangeStart w:id="0"/>
      <w:r>
        <w:rPr>
          <w:rFonts w:hint="eastAsia" w:ascii="黑体" w:eastAsia="黑体"/>
          <w:b/>
          <w:bCs/>
          <w:color w:val="465C38"/>
          <w:sz w:val="44"/>
          <w:szCs w:val="44"/>
        </w:rPr>
        <w:t>的研究</w:t>
      </w:r>
      <w:commentRangeEnd w:id="0"/>
      <w:r>
        <w:rPr>
          <w:color w:val="465C38"/>
        </w:rPr>
        <w:commentReference w:id="0"/>
      </w:r>
    </w:p>
    <w:p w14:paraId="37D47240">
      <w:pPr>
        <w:spacing w:beforeLines="50" w:afterLines="50" w:line="360" w:lineRule="auto"/>
        <w:jc w:val="both"/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vertAlign w:val="superscript"/>
          <w:lang w:val="en-US" w:eastAsia="zh-CN"/>
        </w:rPr>
      </w:pPr>
      <w:bookmarkStart w:id="0" w:name="OLE_LINK2"/>
      <w:bookmarkStart w:id="1" w:name="OLE_LINK1"/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lang w:eastAsia="zh-CN"/>
        </w:rPr>
        <w:t>牛</w:t>
      </w:r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lang w:val="en-US" w:eastAsia="zh-CN"/>
        </w:rPr>
        <w:t>**</w:t>
      </w:r>
      <w:r>
        <w:rPr>
          <w:rStyle w:val="15"/>
          <w:rFonts w:hint="default" w:ascii="Times New Roman" w:hAnsi="Times New Roman" w:eastAsia="幼圆" w:cs="Times New Roman"/>
          <w:b/>
          <w:bCs/>
          <w:color w:val="auto"/>
          <w:sz w:val="28"/>
          <w:szCs w:val="28"/>
        </w:rPr>
        <w:footnoteReference w:id="0"/>
      </w:r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</w:rPr>
        <w:t>，</w:t>
      </w:r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lang w:eastAsia="zh-CN"/>
        </w:rPr>
        <w:t>孟</w:t>
      </w:r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lang w:val="en-US" w:eastAsia="zh-CN"/>
        </w:rPr>
        <w:t>**</w:t>
      </w:r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vertAlign w:val="superscript"/>
        </w:rPr>
        <w:t>2</w:t>
      </w:r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</w:rPr>
        <w:t>，</w:t>
      </w:r>
      <w:commentRangeStart w:id="1"/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lang w:eastAsia="zh-CN"/>
        </w:rPr>
        <w:t>杨</w:t>
      </w:r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lang w:val="en-US" w:eastAsia="zh-CN"/>
        </w:rPr>
        <w:t>*</w:t>
      </w:r>
      <w:commentRangeEnd w:id="1"/>
      <w:r>
        <w:rPr>
          <w:rFonts w:hint="default" w:ascii="Times New Roman" w:hAnsi="Times New Roman" w:eastAsia="幼圆" w:cs="Times New Roman"/>
          <w:color w:val="auto"/>
          <w:sz w:val="28"/>
          <w:szCs w:val="28"/>
        </w:rPr>
        <w:commentReference w:id="1"/>
      </w:r>
      <w:r>
        <w:rPr>
          <w:rFonts w:hint="default" w:ascii="Times New Roman" w:hAnsi="Times New Roman" w:eastAsia="幼圆" w:cs="Times New Roman"/>
          <w:b/>
          <w:bCs/>
          <w:color w:val="auto"/>
          <w:sz w:val="28"/>
          <w:szCs w:val="28"/>
          <w:vertAlign w:val="superscript"/>
          <w:lang w:val="en-US" w:eastAsia="zh-CN"/>
        </w:rPr>
        <w:t>1</w:t>
      </w:r>
      <w:r>
        <w:rPr>
          <w:rFonts w:hint="eastAsia" w:eastAsia="幼圆" w:cs="Times New Roman"/>
          <w:b/>
          <w:bCs/>
          <w:color w:val="auto"/>
          <w:sz w:val="28"/>
          <w:szCs w:val="28"/>
          <w:vertAlign w:val="superscript"/>
          <w:lang w:val="en-US" w:eastAsia="zh-CN"/>
        </w:rPr>
        <w:t>*</w:t>
      </w:r>
    </w:p>
    <w:bookmarkEnd w:id="0"/>
    <w:bookmarkEnd w:id="1"/>
    <w:p w14:paraId="06850042">
      <w:pPr>
        <w:spacing w:line="360" w:lineRule="auto"/>
        <w:jc w:val="left"/>
        <w:rPr>
          <w:rFonts w:hint="default" w:ascii="Times New Roman" w:hAnsi="Times New Roman" w:eastAsia="楷体" w:cs="Times New Roman"/>
          <w:sz w:val="21"/>
          <w:szCs w:val="21"/>
        </w:rPr>
      </w:pPr>
      <w:r>
        <w:rPr>
          <w:rFonts w:hint="default" w:ascii="Times New Roman" w:hAnsi="Times New Roman" w:eastAsia="楷体" w:cs="Times New Roman"/>
          <w:sz w:val="21"/>
          <w:szCs w:val="21"/>
        </w:rPr>
        <w:t>（1.西北农林科技大学食品科学与工程学院，陕西 杨凌 712100；2.上海交通大学农业与生物学院，上海 200240）</w:t>
      </w:r>
    </w:p>
    <w:p w14:paraId="046C92A6">
      <w:pPr>
        <w:jc w:val="center"/>
        <w:rPr>
          <w:rFonts w:hint="eastAsia" w:ascii="黑体" w:eastAsia="黑体"/>
          <w:sz w:val="15"/>
          <w:szCs w:val="15"/>
        </w:rPr>
      </w:pPr>
    </w:p>
    <w:p w14:paraId="3CAFD2A3">
      <w:pPr>
        <w:spacing w:line="360" w:lineRule="auto"/>
        <w:rPr>
          <w:rFonts w:hint="eastAsia" w:ascii="楷体_GB2312" w:eastAsia="楷体_GB2312"/>
          <w:szCs w:val="21"/>
        </w:rPr>
      </w:pPr>
      <w:commentRangeStart w:id="2"/>
      <w:r>
        <w:rPr>
          <w:rFonts w:hint="eastAsia" w:ascii="黑体" w:eastAsia="黑体"/>
          <w:b/>
          <w:color w:val="465C38"/>
          <w:szCs w:val="21"/>
        </w:rPr>
        <w:t>摘　要</w:t>
      </w:r>
      <w:commentRangeEnd w:id="2"/>
      <w:r>
        <w:rPr>
          <w:color w:val="465C38"/>
        </w:rPr>
        <w:commentReference w:id="2"/>
      </w:r>
      <w:r>
        <w:rPr>
          <w:rFonts w:hint="eastAsia" w:ascii="黑体" w:eastAsia="黑体"/>
          <w:b/>
          <w:color w:val="465C38"/>
          <w:szCs w:val="21"/>
          <w:lang w:eastAsia="zh-CN"/>
        </w:rPr>
        <w:t>: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 xml:space="preserve">研究阪崎克罗诺杆菌分别于4、15、25 ℃和37 ℃时在复溶婴幼儿配方乳粉（Reconstituted </w:t>
      </w:r>
      <w:r>
        <w:rPr>
          <w:rFonts w:hint="eastAsia" w:eastAsia="楷体" w:cs="Times New Roman"/>
          <w:b w:val="0"/>
          <w:bCs/>
          <w:szCs w:val="21"/>
          <w:lang w:val="en-US" w:eastAsia="zh-CN"/>
        </w:rPr>
        <w:t>p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 xml:space="preserve">owdered </w:t>
      </w:r>
      <w:r>
        <w:rPr>
          <w:rFonts w:hint="eastAsia" w:eastAsia="楷体" w:cs="Times New Roman"/>
          <w:b w:val="0"/>
          <w:bCs/>
          <w:szCs w:val="21"/>
          <w:lang w:val="en-US" w:eastAsia="zh-CN"/>
        </w:rPr>
        <w:t>i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 xml:space="preserve">nfant </w:t>
      </w:r>
      <w:r>
        <w:rPr>
          <w:rFonts w:hint="eastAsia" w:eastAsia="楷体" w:cs="Times New Roman"/>
          <w:b w:val="0"/>
          <w:bCs/>
          <w:szCs w:val="21"/>
          <w:lang w:val="en-US" w:eastAsia="zh-CN"/>
        </w:rPr>
        <w:t>f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ormula, RPIF）中的生长增殖状况，建立数学模型，预测RPIF中</w:t>
      </w:r>
      <w:r>
        <w:rPr>
          <w:rFonts w:hint="default" w:ascii="Times New Roman" w:hAnsi="Times New Roman" w:eastAsia="楷体" w:cs="Times New Roman"/>
          <w:b w:val="0"/>
          <w:bCs/>
          <w:i/>
          <w:iCs/>
          <w:szCs w:val="21"/>
        </w:rPr>
        <w:t>C. Sakazakii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生长不会对消费者产生危害的储存条件。采用平板菌落计数法测定</w:t>
      </w:r>
      <w:r>
        <w:rPr>
          <w:rFonts w:hint="default" w:ascii="Times New Roman" w:hAnsi="Times New Roman" w:eastAsia="楷体" w:cs="Times New Roman"/>
          <w:b w:val="0"/>
          <w:bCs/>
          <w:i/>
          <w:iCs/>
          <w:szCs w:val="21"/>
        </w:rPr>
        <w:t>C. Sakazakii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的浓度；Gompertz和Logistic方程建立一级模型；Ratkowsky和Rosso模型作为二级模型，预测不同温度下RPIF中</w:t>
      </w:r>
      <w:r>
        <w:rPr>
          <w:rFonts w:hint="default" w:ascii="Times New Roman" w:hAnsi="Times New Roman" w:eastAsia="楷体" w:cs="Times New Roman"/>
          <w:b w:val="0"/>
          <w:bCs/>
          <w:i/>
          <w:iCs/>
          <w:szCs w:val="21"/>
        </w:rPr>
        <w:t>C. Sakazakii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的生长速率。结果</w:t>
      </w:r>
      <w:r>
        <w:rPr>
          <w:rFonts w:hint="eastAsia" w:eastAsia="楷体" w:cs="Times New Roman"/>
          <w:b w:val="0"/>
          <w:bCs/>
          <w:szCs w:val="21"/>
          <w:lang w:val="en-US" w:eastAsia="zh-CN"/>
        </w:rPr>
        <w:t>表明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除4 ℃外，</w:t>
      </w:r>
      <w:r>
        <w:rPr>
          <w:rFonts w:hint="default" w:ascii="Times New Roman" w:hAnsi="Times New Roman" w:eastAsia="楷体" w:cs="Times New Roman"/>
          <w:b w:val="0"/>
          <w:bCs/>
          <w:i/>
          <w:iCs/>
          <w:szCs w:val="21"/>
        </w:rPr>
        <w:t>C. Sakazakii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在15、25 ℃和37 ℃生长良好，生长趋势符合S型曲线。基于Gompertz方程可知，不同温度下</w:t>
      </w:r>
      <w:r>
        <w:rPr>
          <w:rFonts w:hint="default" w:ascii="Times New Roman" w:hAnsi="Times New Roman" w:eastAsia="楷体" w:cs="Times New Roman"/>
          <w:b w:val="0"/>
          <w:bCs/>
          <w:i/>
          <w:iCs/>
          <w:szCs w:val="21"/>
        </w:rPr>
        <w:t>C. Sakazakii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的生长速率为0.23 ~ 0.81h</w:t>
      </w:r>
      <w:r>
        <w:rPr>
          <w:rFonts w:hint="default" w:ascii="Times New Roman" w:hAnsi="Times New Roman" w:eastAsia="楷体" w:cs="Times New Roman"/>
          <w:b w:val="0"/>
          <w:bCs/>
          <w:szCs w:val="21"/>
          <w:vertAlign w:val="superscript"/>
        </w:rPr>
        <w:t>-1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，且随培养温度升高而增加。结果认为将RPIF贮存于4℃时，阪崎克罗诺杆菌基本不会增殖。于15、25 ℃和37 ℃储存都可能因</w:t>
      </w:r>
      <w:r>
        <w:rPr>
          <w:rFonts w:hint="default" w:ascii="Times New Roman" w:hAnsi="Times New Roman" w:eastAsia="楷体" w:cs="Times New Roman"/>
          <w:b w:val="0"/>
          <w:bCs/>
          <w:i/>
          <w:iCs/>
          <w:szCs w:val="21"/>
        </w:rPr>
        <w:t>C. Sakazakii</w:t>
      </w:r>
      <w:r>
        <w:rPr>
          <w:rFonts w:hint="default" w:ascii="Times New Roman" w:hAnsi="Times New Roman" w:eastAsia="楷体" w:cs="Times New Roman"/>
          <w:b w:val="0"/>
          <w:bCs/>
          <w:szCs w:val="21"/>
        </w:rPr>
        <w:t>增殖过快而对消费者造成危害</w:t>
      </w:r>
      <w:r>
        <w:rPr>
          <w:rFonts w:hint="default" w:ascii="Times New Roman" w:hAnsi="Times New Roman" w:eastAsia="楷体_GB2312" w:cs="Times New Roman"/>
          <w:szCs w:val="21"/>
        </w:rPr>
        <w:t>。</w:t>
      </w:r>
    </w:p>
    <w:p w14:paraId="3BFFEBFB">
      <w:pPr>
        <w:spacing w:line="360" w:lineRule="auto"/>
        <w:rPr>
          <w:rFonts w:hint="eastAsia" w:ascii="楷体_GB2312" w:eastAsia="楷体_GB2312"/>
          <w:szCs w:val="21"/>
        </w:rPr>
      </w:pPr>
      <w:commentRangeStart w:id="3"/>
      <w:r>
        <w:rPr>
          <w:rFonts w:hint="eastAsia" w:ascii="黑体" w:eastAsia="黑体"/>
          <w:b/>
          <w:color w:val="465C38"/>
          <w:szCs w:val="21"/>
        </w:rPr>
        <w:t>关键词</w:t>
      </w:r>
      <w:commentRangeEnd w:id="3"/>
      <w:r>
        <w:commentReference w:id="3"/>
      </w:r>
      <w:r>
        <w:rPr>
          <w:rFonts w:hint="eastAsia" w:ascii="黑体" w:eastAsia="黑体"/>
          <w:b/>
          <w:color w:val="465C38"/>
          <w:szCs w:val="21"/>
          <w:lang w:eastAsia="zh-CN"/>
        </w:rPr>
        <w:t>:</w:t>
      </w:r>
      <w:r>
        <w:rPr>
          <w:rFonts w:hint="eastAsia" w:ascii="楷体_GB2312" w:eastAsia="楷体_GB2312"/>
          <w:szCs w:val="21"/>
        </w:rPr>
        <w:t>咪唑乙烟酸；降解菌；富集分离；鉴定；生长特性</w:t>
      </w:r>
    </w:p>
    <w:p w14:paraId="0E60BAF5">
      <w:pPr>
        <w:spacing w:line="360" w:lineRule="auto"/>
        <w:rPr>
          <w:rFonts w:hint="eastAsia" w:ascii="方正楷体简体" w:eastAsia="黑体"/>
          <w:szCs w:val="21"/>
          <w:lang w:eastAsia="zh-CN"/>
        </w:rPr>
      </w:pPr>
      <w:commentRangeStart w:id="4"/>
      <w:r>
        <w:rPr>
          <w:rFonts w:hint="eastAsia" w:ascii="黑体" w:eastAsia="黑体"/>
          <w:b/>
          <w:bCs/>
          <w:color w:val="465C38"/>
          <w:szCs w:val="21"/>
        </w:rPr>
        <w:t>中图分类号</w:t>
      </w:r>
      <w:commentRangeEnd w:id="4"/>
      <w:r>
        <w:rPr>
          <w:color w:val="394B2E"/>
        </w:rPr>
        <w:commentReference w:id="4"/>
      </w:r>
      <w:r>
        <w:rPr>
          <w:rFonts w:hint="eastAsia" w:ascii="黑体" w:eastAsia="黑体"/>
          <w:b/>
          <w:bCs/>
          <w:color w:val="465C38"/>
          <w:szCs w:val="21"/>
          <w:lang w:eastAsia="zh-CN"/>
        </w:rPr>
        <w:t>:</w:t>
      </w:r>
      <w:r>
        <w:rPr>
          <w:rStyle w:val="14"/>
          <w:rFonts w:hint="eastAsia"/>
          <w:color w:val="394B2E"/>
          <w:lang w:val="en-US" w:eastAsia="zh-CN"/>
        </w:rPr>
        <w:t xml:space="preserve">    </w:t>
      </w:r>
      <w:r>
        <w:rPr>
          <w:rFonts w:hint="eastAsia" w:ascii="黑体" w:eastAsia="黑体"/>
          <w:color w:val="394B2E"/>
          <w:szCs w:val="21"/>
        </w:rPr>
        <w:t>　　　　</w:t>
      </w:r>
      <w:r>
        <w:rPr>
          <w:rFonts w:hint="eastAsia" w:ascii="黑体" w:eastAsia="黑体"/>
          <w:b/>
          <w:bCs/>
          <w:color w:val="465C38"/>
          <w:szCs w:val="21"/>
        </w:rPr>
        <w:t>文献</w:t>
      </w:r>
      <w:r>
        <w:rPr>
          <w:rFonts w:hint="eastAsia" w:ascii="黑体" w:eastAsia="黑体"/>
          <w:b/>
          <w:bCs/>
          <w:color w:val="465C38"/>
          <w:szCs w:val="21"/>
          <w:lang w:val="en-US" w:eastAsia="zh-CN"/>
        </w:rPr>
        <w:t>标识</w:t>
      </w:r>
      <w:r>
        <w:rPr>
          <w:rFonts w:hint="eastAsia" w:ascii="黑体" w:eastAsia="黑体"/>
          <w:b/>
          <w:bCs/>
          <w:color w:val="465C38"/>
          <w:szCs w:val="21"/>
        </w:rPr>
        <w:t>码</w:t>
      </w:r>
      <w:r>
        <w:rPr>
          <w:rFonts w:hint="eastAsia" w:ascii="黑体" w:eastAsia="黑体"/>
          <w:b/>
          <w:bCs/>
          <w:color w:val="465C38"/>
          <w:szCs w:val="21"/>
          <w:lang w:eastAsia="zh-CN"/>
        </w:rPr>
        <w:t>:</w:t>
      </w:r>
    </w:p>
    <w:p w14:paraId="38D976E6">
      <w:pPr>
        <w:spacing w:line="360" w:lineRule="auto"/>
        <w:rPr>
          <w:rFonts w:hint="eastAsia" w:ascii="方正楷体简体" w:eastAsia="方正楷体简体"/>
          <w:szCs w:val="21"/>
        </w:rPr>
      </w:pPr>
    </w:p>
    <w:p w14:paraId="54385C9A">
      <w:pPr>
        <w:spacing w:line="60" w:lineRule="auto"/>
        <w:jc w:val="left"/>
        <w:rPr>
          <w:rFonts w:hint="default" w:ascii="Times New Roman" w:hAnsi="Times New Roman" w:cs="Times New Roman"/>
          <w:b/>
          <w:bCs/>
          <w:color w:val="465C38"/>
          <w:sz w:val="24"/>
          <w:lang w:val="en-US" w:eastAsia="zh-CN"/>
        </w:rPr>
      </w:pPr>
      <w:r>
        <w:rPr>
          <w:rFonts w:hint="eastAsia"/>
          <w:b/>
          <w:bCs/>
          <w:color w:val="465C38"/>
          <w:sz w:val="36"/>
          <w:szCs w:val="36"/>
        </w:rPr>
        <w:t xml:space="preserve">Growth of </w:t>
      </w:r>
      <w:r>
        <w:rPr>
          <w:rFonts w:hint="eastAsia"/>
          <w:b/>
          <w:bCs/>
          <w:i/>
          <w:iCs/>
          <w:color w:val="465C38"/>
          <w:sz w:val="36"/>
          <w:szCs w:val="36"/>
        </w:rPr>
        <w:t>Cronobacter Sakazakii</w:t>
      </w:r>
      <w:r>
        <w:rPr>
          <w:rFonts w:hint="eastAsia"/>
          <w:b/>
          <w:bCs/>
          <w:color w:val="465C38"/>
          <w:sz w:val="36"/>
          <w:szCs w:val="36"/>
        </w:rPr>
        <w:t xml:space="preserve"> in </w:t>
      </w:r>
      <w:r>
        <w:rPr>
          <w:rFonts w:hint="eastAsia"/>
          <w:b/>
          <w:bCs/>
          <w:color w:val="465C38"/>
          <w:sz w:val="36"/>
          <w:szCs w:val="36"/>
          <w:lang w:val="en-US" w:eastAsia="zh-CN"/>
        </w:rPr>
        <w:t>r</w:t>
      </w:r>
      <w:r>
        <w:rPr>
          <w:rFonts w:hint="eastAsia"/>
          <w:b/>
          <w:bCs/>
          <w:color w:val="465C38"/>
          <w:sz w:val="36"/>
          <w:szCs w:val="36"/>
        </w:rPr>
        <w:t>econstituted</w:t>
      </w:r>
      <w:r>
        <w:rPr>
          <w:rFonts w:hint="eastAsia"/>
          <w:b/>
          <w:bCs/>
          <w:color w:val="465C38"/>
          <w:sz w:val="36"/>
          <w:szCs w:val="36"/>
          <w:lang w:val="en-US" w:eastAsia="zh-CN"/>
        </w:rPr>
        <w:t xml:space="preserve"> p</w:t>
      </w:r>
      <w:r>
        <w:rPr>
          <w:rFonts w:hint="eastAsia"/>
          <w:b/>
          <w:bCs/>
          <w:color w:val="465C38"/>
          <w:sz w:val="36"/>
          <w:szCs w:val="36"/>
        </w:rPr>
        <w:t xml:space="preserve">owdered </w:t>
      </w:r>
      <w:r>
        <w:rPr>
          <w:rFonts w:hint="eastAsia"/>
          <w:b/>
          <w:bCs/>
          <w:color w:val="465C38"/>
          <w:sz w:val="36"/>
          <w:szCs w:val="36"/>
          <w:lang w:val="en-US" w:eastAsia="zh-CN"/>
        </w:rPr>
        <w:t>i</w:t>
      </w:r>
      <w:r>
        <w:rPr>
          <w:rFonts w:hint="eastAsia"/>
          <w:b/>
          <w:bCs/>
          <w:color w:val="465C38"/>
          <w:sz w:val="36"/>
          <w:szCs w:val="36"/>
        </w:rPr>
        <w:t xml:space="preserve">nfant </w:t>
      </w:r>
      <w:r>
        <w:rPr>
          <w:rFonts w:hint="eastAsia"/>
          <w:b/>
          <w:bCs/>
          <w:color w:val="465C38"/>
          <w:sz w:val="36"/>
          <w:szCs w:val="36"/>
          <w:lang w:val="en-US" w:eastAsia="zh-CN"/>
        </w:rPr>
        <w:t>f</w:t>
      </w:r>
      <w:r>
        <w:rPr>
          <w:rFonts w:hint="eastAsia"/>
          <w:b/>
          <w:bCs/>
          <w:color w:val="465C38"/>
          <w:sz w:val="36"/>
          <w:szCs w:val="36"/>
        </w:rPr>
        <w:t xml:space="preserve">ormula in </w:t>
      </w:r>
      <w:r>
        <w:rPr>
          <w:rFonts w:hint="eastAsia"/>
          <w:b/>
          <w:bCs/>
          <w:color w:val="465C38"/>
          <w:sz w:val="36"/>
          <w:szCs w:val="36"/>
          <w:lang w:val="en-US" w:eastAsia="zh-CN"/>
        </w:rPr>
        <w:t>d</w:t>
      </w:r>
      <w:r>
        <w:rPr>
          <w:rFonts w:hint="eastAsia"/>
          <w:b/>
          <w:bCs/>
          <w:color w:val="465C38"/>
          <w:sz w:val="36"/>
          <w:szCs w:val="36"/>
        </w:rPr>
        <w:t xml:space="preserve">ifferent </w:t>
      </w:r>
      <w:r>
        <w:rPr>
          <w:rFonts w:hint="eastAsia"/>
          <w:b/>
          <w:bCs/>
          <w:color w:val="465C38"/>
          <w:sz w:val="36"/>
          <w:szCs w:val="36"/>
          <w:lang w:val="en-US" w:eastAsia="zh-CN"/>
        </w:rPr>
        <w:t>t</w:t>
      </w:r>
      <w:r>
        <w:rPr>
          <w:rFonts w:hint="eastAsia"/>
          <w:b/>
          <w:bCs/>
          <w:color w:val="465C38"/>
          <w:sz w:val="36"/>
          <w:szCs w:val="36"/>
        </w:rPr>
        <w:t>emperatures</w:t>
      </w:r>
    </w:p>
    <w:p w14:paraId="3D25D144">
      <w:pPr>
        <w:spacing w:line="60" w:lineRule="auto"/>
        <w:jc w:val="both"/>
        <w:rPr>
          <w:rFonts w:hint="eastAsia" w:cs="Times New Roman"/>
          <w:color w:val="000000"/>
          <w:sz w:val="24"/>
          <w:szCs w:val="24"/>
          <w:lang w:val="en-US" w:eastAsia="zh-CN"/>
        </w:rPr>
      </w:pPr>
    </w:p>
    <w:p w14:paraId="22EED3FE">
      <w:pPr>
        <w:spacing w:line="60" w:lineRule="auto"/>
        <w:jc w:val="both"/>
        <w:rPr>
          <w:rFonts w:hint="default" w:ascii="宋体" w:hAnsi="宋体" w:eastAsia="宋体"/>
          <w:sz w:val="28"/>
          <w:szCs w:val="28"/>
          <w:vertAlign w:val="superscript"/>
          <w:lang w:val="en-US" w:eastAsia="zh-CN"/>
        </w:rPr>
      </w:pPr>
      <w:commentRangeStart w:id="5"/>
      <w:r>
        <w:rPr>
          <w:rFonts w:hint="eastAsia" w:cs="Times New Roman"/>
          <w:color w:val="000000"/>
          <w:sz w:val="28"/>
          <w:szCs w:val="28"/>
          <w:lang w:val="en-US" w:eastAsia="zh-CN"/>
        </w:rPr>
        <w:t>NIU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8"/>
          <w:szCs w:val="28"/>
        </w:rPr>
        <w:t>Qinya</w:t>
      </w:r>
      <w:commentRangeEnd w:id="5"/>
      <w:r>
        <w:commentReference w:id="5"/>
      </w:r>
      <w:r>
        <w:rPr>
          <w:rFonts w:hint="eastAsia"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hint="eastAsia" w:hAnsi="宋体"/>
          <w:sz w:val="28"/>
          <w:szCs w:val="28"/>
          <w:lang w:val="en-US" w:eastAsia="zh-CN"/>
        </w:rPr>
        <w:t>,</w:t>
      </w:r>
      <w:r>
        <w:rPr>
          <w:rFonts w:hint="eastAsia"/>
          <w:color w:val="000000"/>
          <w:kern w:val="0"/>
          <w:sz w:val="28"/>
          <w:szCs w:val="28"/>
          <w:lang w:val="en-US" w:eastAsia="zh-CN"/>
        </w:rPr>
        <w:t>MENG</w:t>
      </w:r>
      <w:r>
        <w:rPr>
          <w:rFonts w:hint="eastAsia" w:ascii="Times New Roman" w:hAnsi="Times New Roman"/>
          <w:color w:val="000000"/>
          <w:kern w:val="0"/>
          <w:sz w:val="28"/>
          <w:szCs w:val="28"/>
        </w:rPr>
        <w:t xml:space="preserve"> </w:t>
      </w:r>
      <w:r>
        <w:rPr>
          <w:rFonts w:hint="eastAsia"/>
          <w:color w:val="000000"/>
          <w:kern w:val="0"/>
          <w:sz w:val="28"/>
          <w:szCs w:val="28"/>
          <w:lang w:val="en-US" w:eastAsia="zh-CN"/>
        </w:rPr>
        <w:t>****</w:t>
      </w:r>
      <w:r>
        <w:rPr>
          <w:sz w:val="28"/>
          <w:szCs w:val="28"/>
          <w:vertAlign w:val="superscript"/>
        </w:rPr>
        <w:t>2</w:t>
      </w:r>
      <w:r>
        <w:rPr>
          <w:rFonts w:hint="eastAsia" w:hAnsi="宋体"/>
          <w:sz w:val="28"/>
          <w:szCs w:val="28"/>
          <w:lang w:val="en-US" w:eastAsia="zh-CN"/>
        </w:rPr>
        <w:t>,</w:t>
      </w:r>
      <w:r>
        <w:rPr>
          <w:rFonts w:hint="eastAsia"/>
          <w:sz w:val="28"/>
          <w:szCs w:val="28"/>
          <w:lang w:val="en-US" w:eastAsia="zh-CN"/>
        </w:rPr>
        <w:t>YANG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color w:val="000000"/>
          <w:kern w:val="0"/>
          <w:sz w:val="28"/>
          <w:szCs w:val="28"/>
          <w:lang w:val="en-US" w:eastAsia="zh-CN"/>
        </w:rPr>
        <w:t>****</w:t>
      </w:r>
      <w:r>
        <w:rPr>
          <w:rFonts w:hint="eastAsia"/>
          <w:color w:val="000000"/>
          <w:kern w:val="0"/>
          <w:sz w:val="28"/>
          <w:szCs w:val="28"/>
          <w:vertAlign w:val="superscript"/>
          <w:lang w:val="en-US" w:eastAsia="zh-CN"/>
        </w:rPr>
        <w:t>1</w:t>
      </w:r>
    </w:p>
    <w:p w14:paraId="6FE571A5">
      <w:pPr>
        <w:numPr>
          <w:ilvl w:val="0"/>
          <w:numId w:val="2"/>
        </w:numPr>
        <w:spacing w:line="360" w:lineRule="auto"/>
        <w:jc w:val="left"/>
        <w:rPr>
          <w:sz w:val="21"/>
          <w:szCs w:val="21"/>
        </w:rPr>
      </w:pPr>
      <w:r>
        <w:rPr>
          <w:rFonts w:hint="eastAsia" w:ascii="Times New Roman" w:hAnsi="Times New Roman"/>
          <w:color w:val="000000"/>
          <w:kern w:val="0"/>
          <w:sz w:val="21"/>
          <w:szCs w:val="21"/>
        </w:rPr>
        <w:t>College of Food Science and Engineering, Northwest A&amp;F University, Yangling 712100, China; 2. School of Agriculture and Biology, Shanghai Jiao Tong University, Shanghai 200240, China</w:t>
      </w:r>
      <w:r>
        <w:rPr>
          <w:sz w:val="21"/>
          <w:szCs w:val="21"/>
        </w:rPr>
        <w:t>)</w:t>
      </w:r>
    </w:p>
    <w:p w14:paraId="74B2C2AA">
      <w:pPr>
        <w:numPr>
          <w:ilvl w:val="0"/>
          <w:numId w:val="0"/>
        </w:numPr>
        <w:spacing w:line="360" w:lineRule="auto"/>
        <w:jc w:val="left"/>
        <w:rPr>
          <w:rFonts w:hint="eastAsia"/>
          <w:sz w:val="21"/>
          <w:szCs w:val="21"/>
        </w:rPr>
      </w:pPr>
    </w:p>
    <w:p w14:paraId="4611D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Cs w:val="21"/>
        </w:rPr>
      </w:pPr>
      <w:commentRangeStart w:id="6"/>
      <w:r>
        <w:rPr>
          <w:b/>
          <w:color w:val="465C38"/>
          <w:szCs w:val="21"/>
        </w:rPr>
        <w:t>Abstract:</w:t>
      </w:r>
      <w:commentRangeEnd w:id="6"/>
      <w:r>
        <w:rPr>
          <w:color w:val="465C38"/>
        </w:rPr>
        <w:commentReference w:id="6"/>
      </w:r>
      <w:r>
        <w:rPr>
          <w:rFonts w:hint="eastAsia"/>
          <w:szCs w:val="21"/>
        </w:rPr>
        <w:t xml:space="preserve">In current study, mathematical growth model was developed to predict the growth of </w:t>
      </w:r>
      <w:r>
        <w:rPr>
          <w:rFonts w:hint="eastAsia"/>
          <w:i/>
          <w:iCs/>
          <w:szCs w:val="21"/>
        </w:rPr>
        <w:t>C. Sakazakii</w:t>
      </w:r>
      <w:r>
        <w:rPr>
          <w:rFonts w:hint="eastAsia"/>
          <w:szCs w:val="21"/>
        </w:rPr>
        <w:t xml:space="preserve"> in reconstituted PIF (RPIF) at 4℃, which represents refrigerator temperature; at 15℃, 25℃ and 37℃, which represent room temperatures in different seasons, respectively, to predict the time period that RPIF could be stored at certain temperature without detrimental impact of</w:t>
      </w:r>
      <w:r>
        <w:rPr>
          <w:rFonts w:hint="eastAsia"/>
          <w:i/>
          <w:iCs/>
          <w:szCs w:val="21"/>
        </w:rPr>
        <w:t xml:space="preserve"> C. Sakazakii</w:t>
      </w:r>
      <w:r>
        <w:rPr>
          <w:rFonts w:hint="eastAsia"/>
          <w:szCs w:val="21"/>
        </w:rPr>
        <w:t xml:space="preserve"> on safe consumption. Concentration of </w:t>
      </w:r>
      <w:r>
        <w:rPr>
          <w:rFonts w:hint="eastAsia"/>
          <w:i/>
          <w:iCs/>
          <w:szCs w:val="21"/>
        </w:rPr>
        <w:t>C. Sakazakii</w:t>
      </w:r>
      <w:r>
        <w:rPr>
          <w:rFonts w:hint="eastAsia"/>
          <w:szCs w:val="21"/>
        </w:rPr>
        <w:t xml:space="preserve"> was determined using plate colony counting method. Gompertz equation and logistic equation were used as primary model; Ratkowsky model and Rosso model were used as secondary model to predict the specific growth rate of </w:t>
      </w:r>
      <w:r>
        <w:rPr>
          <w:rFonts w:hint="eastAsia"/>
          <w:i/>
          <w:iCs/>
          <w:szCs w:val="21"/>
        </w:rPr>
        <w:t>C. Sakazakii</w:t>
      </w:r>
      <w:r>
        <w:rPr>
          <w:rFonts w:hint="eastAsia"/>
          <w:szCs w:val="21"/>
        </w:rPr>
        <w:t xml:space="preserve"> in RPIF. Results: Except for 4℃, </w:t>
      </w:r>
      <w:r>
        <w:rPr>
          <w:rFonts w:hint="eastAsia"/>
          <w:i/>
          <w:iCs/>
          <w:szCs w:val="21"/>
        </w:rPr>
        <w:t>C. Sakazakii</w:t>
      </w:r>
      <w:r>
        <w:rPr>
          <w:rFonts w:hint="eastAsia"/>
          <w:szCs w:val="21"/>
        </w:rPr>
        <w:t xml:space="preserve"> grew very well at 15℃, 25℃ and 37℃, the growth tendency fitted to S-shaped growth curve. The growth rates of </w:t>
      </w:r>
      <w:r>
        <w:rPr>
          <w:rFonts w:hint="eastAsia"/>
          <w:i/>
          <w:iCs/>
          <w:szCs w:val="21"/>
        </w:rPr>
        <w:t>C. Sakazakii</w:t>
      </w:r>
      <w:r>
        <w:rPr>
          <w:rFonts w:hint="eastAsia"/>
          <w:szCs w:val="21"/>
        </w:rPr>
        <w:t xml:space="preserve"> ranged from 0.23 to 0.81 h-1 based on the equation of Gompertz , and generally increased with temperature increasing. The </w:t>
      </w:r>
      <w:r>
        <w:rPr>
          <w:rFonts w:hint="eastAsia"/>
          <w:i/>
          <w:iCs/>
          <w:szCs w:val="21"/>
        </w:rPr>
        <w:t>C. Sakazakii</w:t>
      </w:r>
      <w:r>
        <w:rPr>
          <w:rFonts w:hint="eastAsia"/>
          <w:szCs w:val="21"/>
        </w:rPr>
        <w:t xml:space="preserve"> in RPIF would hardly grow if it was stored in the refrigerator at 4℃, otherwise, it would be great hazards for infant and/or baby to be infected when the RPIF was stored at 15℃, 25℃ and 37 ℃</w:t>
      </w:r>
      <w:r>
        <w:rPr>
          <w:szCs w:val="21"/>
        </w:rPr>
        <w:t>.</w:t>
      </w:r>
    </w:p>
    <w:p w14:paraId="28333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szCs w:val="21"/>
        </w:rPr>
      </w:pPr>
      <w:r>
        <w:rPr>
          <w:b/>
          <w:color w:val="465C38"/>
          <w:szCs w:val="21"/>
        </w:rPr>
        <w:t>Key</w:t>
      </w:r>
      <w:r>
        <w:rPr>
          <w:rFonts w:hint="eastAsia"/>
          <w:b/>
          <w:color w:val="465C38"/>
          <w:szCs w:val="21"/>
          <w:lang w:val="en-US" w:eastAsia="zh-CN"/>
        </w:rPr>
        <w:t xml:space="preserve"> </w:t>
      </w:r>
      <w:r>
        <w:rPr>
          <w:b/>
          <w:color w:val="465C38"/>
          <w:szCs w:val="21"/>
        </w:rPr>
        <w:t>words</w:t>
      </w:r>
      <w:r>
        <w:rPr>
          <w:rFonts w:hint="eastAsia"/>
          <w:b/>
          <w:color w:val="465C38"/>
          <w:szCs w:val="21"/>
          <w:lang w:val="en-US" w:eastAsia="zh-CN"/>
        </w:rPr>
        <w:t>:</w:t>
      </w:r>
      <w:r>
        <w:rPr>
          <w:rFonts w:hint="eastAsia"/>
          <w:i/>
          <w:iCs/>
          <w:szCs w:val="21"/>
        </w:rPr>
        <w:t xml:space="preserve">Cronobacter </w:t>
      </w:r>
      <w:r>
        <w:rPr>
          <w:rFonts w:hint="eastAsia"/>
          <w:i/>
          <w:iCs/>
          <w:szCs w:val="21"/>
          <w:lang w:val="en-US" w:eastAsia="zh-CN"/>
        </w:rPr>
        <w:t>S</w:t>
      </w:r>
      <w:r>
        <w:rPr>
          <w:rFonts w:hint="eastAsia"/>
          <w:i/>
          <w:iCs/>
          <w:szCs w:val="21"/>
        </w:rPr>
        <w:t>akazakii</w:t>
      </w:r>
      <w:r>
        <w:rPr>
          <w:rFonts w:hint="eastAsia"/>
          <w:szCs w:val="21"/>
        </w:rPr>
        <w:t>;</w:t>
      </w:r>
      <w:r>
        <w:rPr>
          <w:rFonts w:hint="eastAsia"/>
          <w:szCs w:val="21"/>
          <w:lang w:val="en-US" w:eastAsia="zh-CN"/>
        </w:rPr>
        <w:t>g</w:t>
      </w:r>
      <w:r>
        <w:rPr>
          <w:rFonts w:hint="eastAsia"/>
          <w:szCs w:val="21"/>
        </w:rPr>
        <w:t>rowth model;</w:t>
      </w:r>
      <w:r>
        <w:rPr>
          <w:rFonts w:hint="eastAsia"/>
          <w:szCs w:val="21"/>
          <w:lang w:val="en-US" w:eastAsia="zh-CN"/>
        </w:rPr>
        <w:t>r</w:t>
      </w:r>
      <w:r>
        <w:rPr>
          <w:rFonts w:hint="eastAsia"/>
          <w:szCs w:val="21"/>
        </w:rPr>
        <w:t xml:space="preserve">econstituted </w:t>
      </w:r>
      <w:r>
        <w:rPr>
          <w:rFonts w:hint="eastAsia"/>
          <w:szCs w:val="21"/>
          <w:lang w:val="en-US" w:eastAsia="zh-CN"/>
        </w:rPr>
        <w:t>p</w:t>
      </w:r>
      <w:r>
        <w:rPr>
          <w:rFonts w:hint="eastAsia"/>
          <w:szCs w:val="21"/>
        </w:rPr>
        <w:t xml:space="preserve">owdered </w:t>
      </w:r>
      <w:r>
        <w:rPr>
          <w:rFonts w:hint="eastAsia"/>
          <w:szCs w:val="21"/>
          <w:lang w:val="en-US" w:eastAsia="zh-CN"/>
        </w:rPr>
        <w:t>i</w:t>
      </w:r>
      <w:r>
        <w:rPr>
          <w:rFonts w:hint="eastAsia"/>
          <w:szCs w:val="21"/>
        </w:rPr>
        <w:t xml:space="preserve">nfant </w:t>
      </w:r>
      <w:r>
        <w:rPr>
          <w:rFonts w:hint="eastAsia"/>
          <w:szCs w:val="21"/>
          <w:lang w:val="en-US" w:eastAsia="zh-CN"/>
        </w:rPr>
        <w:t>f</w:t>
      </w:r>
      <w:r>
        <w:rPr>
          <w:rFonts w:hint="eastAsia"/>
          <w:szCs w:val="21"/>
        </w:rPr>
        <w:t xml:space="preserve">ormula (RPIF); </w:t>
      </w:r>
      <w:r>
        <w:rPr>
          <w:rFonts w:hint="eastAsia"/>
          <w:szCs w:val="21"/>
          <w:lang w:val="en-US" w:eastAsia="zh-CN"/>
        </w:rPr>
        <w:t>p</w:t>
      </w:r>
      <w:r>
        <w:rPr>
          <w:rFonts w:hint="eastAsia"/>
          <w:szCs w:val="21"/>
        </w:rPr>
        <w:t xml:space="preserve">redictive </w:t>
      </w:r>
      <w:r>
        <w:rPr>
          <w:rFonts w:hint="eastAsia"/>
          <w:szCs w:val="21"/>
          <w:lang w:val="en-US" w:eastAsia="zh-CN"/>
        </w:rPr>
        <w:t>m</w:t>
      </w:r>
      <w:r>
        <w:rPr>
          <w:rFonts w:hint="eastAsia"/>
          <w:szCs w:val="21"/>
        </w:rPr>
        <w:t>icrobiology</w:t>
      </w:r>
    </w:p>
    <w:p w14:paraId="2D0581CB">
      <w:pPr>
        <w:spacing w:line="324" w:lineRule="auto"/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</w:p>
    <w:p w14:paraId="4B310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黑体"/>
          <w:color w:val="394B2E"/>
          <w:sz w:val="28"/>
          <w:szCs w:val="28"/>
          <w:lang w:val="en-US" w:eastAsia="zh-CN"/>
        </w:rPr>
      </w:pPr>
      <w:commentRangeStart w:id="7"/>
      <w:r>
        <w:rPr>
          <w:rFonts w:hint="default" w:ascii="Times New Roman" w:hAnsi="Times New Roman" w:eastAsia="黑体" w:cs="Times New Roman"/>
          <w:b/>
          <w:bCs/>
          <w:color w:val="465C38"/>
          <w:sz w:val="28"/>
          <w:szCs w:val="28"/>
          <w:lang w:val="en-US" w:eastAsia="zh-CN"/>
        </w:rPr>
        <w:t>0</w:t>
      </w:r>
      <w:r>
        <w:rPr>
          <w:rFonts w:hint="eastAsia" w:eastAsia="黑体" w:cs="Times New Roman"/>
          <w:b/>
          <w:bCs/>
          <w:color w:val="465C38"/>
          <w:sz w:val="28"/>
          <w:szCs w:val="28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  <w:lang w:val="en-US" w:eastAsia="zh-CN"/>
        </w:rPr>
        <w:t>引 言</w:t>
      </w:r>
      <w:commentRangeEnd w:id="7"/>
      <w:r>
        <w:rPr>
          <w:color w:val="394B2E"/>
        </w:rPr>
        <w:commentReference w:id="7"/>
      </w:r>
    </w:p>
    <w:p w14:paraId="2769DB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阪崎克罗诺杆菌（</w:t>
      </w:r>
      <w:r>
        <w:rPr>
          <w:rFonts w:hint="eastAsia"/>
          <w:i/>
          <w:iCs/>
          <w:szCs w:val="21"/>
          <w:lang w:val="en-US" w:eastAsia="zh-CN"/>
        </w:rPr>
        <w:t>Cronobacter Sakazakii</w:t>
      </w:r>
      <w:r>
        <w:rPr>
          <w:rFonts w:hint="eastAsia"/>
          <w:szCs w:val="21"/>
          <w:lang w:val="en-US" w:eastAsia="zh-CN"/>
        </w:rPr>
        <w:t xml:space="preserve">, </w:t>
      </w:r>
      <w:r>
        <w:rPr>
          <w:rFonts w:hint="eastAsia"/>
          <w:i/>
          <w:iCs/>
          <w:szCs w:val="21"/>
          <w:lang w:val="en-US" w:eastAsia="zh-CN"/>
        </w:rPr>
        <w:t>C. Sakazakii</w:t>
      </w:r>
      <w:r>
        <w:rPr>
          <w:rFonts w:hint="eastAsia"/>
          <w:szCs w:val="21"/>
          <w:lang w:val="en-US" w:eastAsia="zh-CN"/>
        </w:rPr>
        <w:t>），是一种无芽孢的革兰氏阴性杆菌，可引起新生儿脑膜炎、败血症和肠炎。据报道，阪崎克罗诺杆菌感染早产婴儿造成的死亡率可达到40%~80%</w:t>
      </w:r>
      <w:r>
        <w:rPr>
          <w:rFonts w:hint="eastAsia"/>
          <w:szCs w:val="21"/>
          <w:vertAlign w:val="superscript"/>
          <w:lang w:val="en-US" w:eastAsia="zh-CN"/>
        </w:rPr>
        <w:t>[1-9]</w:t>
      </w:r>
      <w:r>
        <w:rPr>
          <w:rFonts w:hint="eastAsia"/>
          <w:szCs w:val="21"/>
          <w:lang w:val="en-US" w:eastAsia="zh-CN"/>
        </w:rPr>
        <w:t>。虽然前期研究已在婴幼儿配方乳粉、饮料、奶酪、鸡蛋、鱼、禽肉、虾、米饭、饺子、婴幼儿食品辅料和一些零售食品等中间检出阪崎克罗诺杆菌，但</w:t>
      </w:r>
      <w:commentRangeStart w:id="8"/>
      <w:r>
        <w:rPr>
          <w:rFonts w:hint="eastAsia"/>
          <w:szCs w:val="21"/>
          <w:lang w:val="en-US" w:eastAsia="zh-CN"/>
        </w:rPr>
        <w:t>婴幼儿配方乳粉（Powdered infant formula, PIF）</w:t>
      </w:r>
      <w:commentRangeEnd w:id="8"/>
      <w:r>
        <w:commentReference w:id="8"/>
      </w:r>
      <w:r>
        <w:rPr>
          <w:rFonts w:hint="eastAsia"/>
          <w:szCs w:val="21"/>
          <w:lang w:val="en-US" w:eastAsia="zh-CN"/>
        </w:rPr>
        <w:t>被认为是该菌最主要、最常见的传播源及载体</w:t>
      </w:r>
      <w:r>
        <w:rPr>
          <w:rFonts w:hint="eastAsia"/>
          <w:szCs w:val="21"/>
          <w:vertAlign w:val="superscript"/>
          <w:lang w:val="en-US" w:eastAsia="zh-CN"/>
        </w:rPr>
        <w:t>[1]</w:t>
      </w:r>
      <w:r>
        <w:rPr>
          <w:rFonts w:hint="eastAsia"/>
          <w:szCs w:val="21"/>
          <w:lang w:val="en-US" w:eastAsia="zh-CN"/>
        </w:rPr>
        <w:t>。</w:t>
      </w:r>
    </w:p>
    <w:p w14:paraId="7E9BE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生产过程中PIF可能会被阪崎克罗诺杆菌污染，但细胞数一般较少。同时由于PIF中水分活度很低，阪崎克罗诺杆菌即使存在也无法生长繁殖。然而，冲调的复溶配方乳粉（Reconstituted powdered infant formula, RPIF）却是该菌生长繁殖的良好营养基质。日常生活中，很多情况下婴幼儿不能一次性进食完冲调的RPIF，在一些婴幼儿护理中心、医院甚至家庭中，医护人员无法做到及时清洗奶瓶，若奶瓶贮藏温度不适，原本存在于PIF中的少量阪崎克罗诺杆菌则可能在RPIF中快速生长繁殖，从而交叉污染或直接污染再次冲调的RPIF，导致食源性疾病爆发</w:t>
      </w:r>
      <w:commentRangeStart w:id="9"/>
      <w:r>
        <w:rPr>
          <w:rFonts w:hint="eastAsia"/>
          <w:szCs w:val="21"/>
          <w:vertAlign w:val="superscript"/>
          <w:lang w:val="en-US" w:eastAsia="zh-CN"/>
        </w:rPr>
        <w:t>[2-5]</w:t>
      </w:r>
      <w:commentRangeEnd w:id="9"/>
      <w:r>
        <w:commentReference w:id="9"/>
      </w:r>
      <w:r>
        <w:rPr>
          <w:rFonts w:hint="eastAsia"/>
          <w:szCs w:val="21"/>
          <w:lang w:val="en-US" w:eastAsia="zh-CN"/>
        </w:rPr>
        <w:t>。</w:t>
      </w:r>
    </w:p>
    <w:p w14:paraId="3258AC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阪崎克罗诺杆菌在RPIF中的迟滞期、剩余RPIF或奶瓶的储藏温度、污染菌的细胞数量是影响其在RPIF中生长繁殖的决定性因素</w:t>
      </w:r>
      <w:r>
        <w:rPr>
          <w:rFonts w:hint="eastAsia"/>
          <w:szCs w:val="21"/>
          <w:vertAlign w:val="superscript"/>
          <w:lang w:val="en-US" w:eastAsia="zh-CN"/>
        </w:rPr>
        <w:t>[6]</w:t>
      </w:r>
      <w:r>
        <w:rPr>
          <w:rFonts w:hint="eastAsia"/>
          <w:szCs w:val="21"/>
          <w:lang w:val="en-US" w:eastAsia="zh-CN"/>
        </w:rPr>
        <w:t>。为防止食用受到阪崎克罗诺杆菌污染的RPIF，本研究探讨了几个关键的培养参数对4、15、25 ℃和37 ℃（分别代表剩余RPIF和奶瓶在冰箱及不同季节室温储存的温度）下RPIF中阪崎克罗诺杆菌生长的影响，预测阪崎克罗诺杆菌在RPIF中的生长规律，为有效减少医院及家庭环境中相关病原菌的污染风险提供参考。</w:t>
      </w:r>
    </w:p>
    <w:p w14:paraId="5DA26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黑体"/>
          <w:b/>
          <w:bCs/>
          <w:color w:val="465723"/>
          <w:sz w:val="28"/>
          <w:szCs w:val="28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465C38"/>
          <w:sz w:val="28"/>
          <w:szCs w:val="28"/>
        </w:rPr>
        <w:t>1　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</w:rPr>
        <w:t>材料与方法</w:t>
      </w:r>
    </w:p>
    <w:p w14:paraId="1FF41C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黑体" w:cs="Times New Roman"/>
          <w:sz w:val="21"/>
          <w:szCs w:val="21"/>
          <w:lang w:val="en-US" w:eastAsia="zh-CN"/>
        </w:rPr>
      </w:pPr>
      <w:r>
        <w:rPr>
          <w:rFonts w:ascii="Times New Roman" w:hAnsi="Times New Roman" w:cs="Times New Roman"/>
          <w:sz w:val="21"/>
          <w:szCs w:val="21"/>
        </w:rPr>
        <w:t xml:space="preserve">1.1  </w:t>
      </w:r>
      <w:r>
        <w:rPr>
          <w:rFonts w:hint="eastAsia" w:ascii="黑体" w:hAnsi="黑体" w:eastAsia="黑体" w:cs="黑体"/>
          <w:sz w:val="21"/>
          <w:szCs w:val="21"/>
        </w:rPr>
        <w:t>材料</w:t>
      </w:r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>与试剂</w:t>
      </w:r>
    </w:p>
    <w:p w14:paraId="09105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菌株</w:t>
      </w:r>
      <w:r>
        <w:rPr>
          <w:rFonts w:ascii="Times New Roman" w:hAnsi="Times New Roman" w:cs="Times New Roman"/>
          <w:i/>
          <w:sz w:val="21"/>
          <w:szCs w:val="21"/>
        </w:rPr>
        <w:t>Cronobacter Sakazakii</w:t>
      </w:r>
      <w:r>
        <w:rPr>
          <w:rFonts w:hint="eastAsia" w:cs="Times New Roman"/>
          <w:i/>
          <w:sz w:val="21"/>
          <w:szCs w:val="21"/>
          <w:lang w:val="en-US" w:eastAsia="zh-CN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ATCC BAA894，中国食品药品检定研究院</w:t>
      </w:r>
      <w:r>
        <w:rPr>
          <w:rFonts w:hint="eastAsia" w:cs="Times New Roman"/>
          <w:sz w:val="21"/>
          <w:szCs w:val="21"/>
          <w:lang w:eastAsia="zh-CN"/>
        </w:rPr>
        <w:t>；</w:t>
      </w:r>
      <w:r>
        <w:rPr>
          <w:rFonts w:ascii="Times New Roman" w:hAnsi="Times New Roman" w:cs="Times New Roman"/>
          <w:sz w:val="21"/>
          <w:szCs w:val="21"/>
        </w:rPr>
        <w:t xml:space="preserve">Luria-Bertani Agar </w:t>
      </w:r>
      <w:r>
        <w:rPr>
          <w:rFonts w:hint="eastAsia" w:ascii="Times New Roman" w:hAnsi="Times New Roman" w:cs="Times New Roman"/>
          <w:sz w:val="21"/>
          <w:szCs w:val="21"/>
        </w:rPr>
        <w:t>（</w:t>
      </w:r>
      <w:r>
        <w:rPr>
          <w:rFonts w:ascii="Times New Roman" w:hAnsi="Times New Roman" w:cs="Times New Roman"/>
          <w:sz w:val="21"/>
          <w:szCs w:val="21"/>
        </w:rPr>
        <w:t>LB</w:t>
      </w:r>
      <w:r>
        <w:rPr>
          <w:rFonts w:hint="eastAsia" w:ascii="Times New Roman" w:hAnsi="Times New Roman" w:cs="Times New Roman"/>
          <w:sz w:val="21"/>
          <w:szCs w:val="21"/>
        </w:rPr>
        <w:t>）和</w:t>
      </w:r>
      <w:r>
        <w:rPr>
          <w:rFonts w:ascii="Times New Roman" w:hAnsi="Times New Roman" w:cs="Times New Roman"/>
          <w:sz w:val="21"/>
          <w:szCs w:val="21"/>
        </w:rPr>
        <w:t>Brian Heart Infusion（BHI）培养基</w:t>
      </w:r>
      <w:r>
        <w:rPr>
          <w:rFonts w:hint="eastAsia" w:cs="Times New Roman"/>
          <w:sz w:val="21"/>
          <w:szCs w:val="21"/>
          <w:lang w:eastAsia="zh-CN"/>
        </w:rPr>
        <w:t>，</w:t>
      </w:r>
      <w:r>
        <w:rPr>
          <w:rFonts w:ascii="Times New Roman" w:hAnsi="Times New Roman" w:cs="Times New Roman"/>
          <w:sz w:val="21"/>
          <w:szCs w:val="21"/>
        </w:rPr>
        <w:t>北京陆桥技术有限责任公司</w:t>
      </w:r>
      <w:r>
        <w:rPr>
          <w:rFonts w:hint="eastAsia" w:ascii="Times New Roman" w:hAnsi="Times New Roman" w:cs="Times New Roman"/>
          <w:sz w:val="21"/>
          <w:szCs w:val="21"/>
        </w:rPr>
        <w:t>；</w:t>
      </w:r>
      <w:r>
        <w:rPr>
          <w:rFonts w:hint="eastAsia" w:ascii="Times New Roman" w:hAnsi="Times New Roman" w:cs="Times New Roman"/>
          <w:sz w:val="21"/>
          <w:szCs w:val="21"/>
          <w:highlight w:val="none"/>
        </w:rPr>
        <w:t>婴幼儿配方乳粉购买生产日期为同批次的某品牌金装幼儿配方粉</w:t>
      </w:r>
      <w:r>
        <w:rPr>
          <w:rFonts w:hint="eastAsia" w:ascii="Times New Roman" w:hAnsi="Times New Roman" w:cs="Times New Roman"/>
          <w:sz w:val="21"/>
          <w:szCs w:val="21"/>
        </w:rPr>
        <w:t>，市售</w:t>
      </w:r>
      <w:r>
        <w:rPr>
          <w:rFonts w:ascii="Times New Roman" w:hAnsi="Times New Roman" w:cs="Times New Roman"/>
          <w:sz w:val="21"/>
          <w:szCs w:val="21"/>
        </w:rPr>
        <w:t>。</w:t>
      </w:r>
    </w:p>
    <w:p w14:paraId="1854C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</w:t>
      </w:r>
      <w:r>
        <w:rPr>
          <w:rFonts w:hint="eastAsia" w:cs="Times New Roman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/>
          <w:sz w:val="21"/>
          <w:szCs w:val="21"/>
        </w:rPr>
        <w:t xml:space="preserve">  </w:t>
      </w:r>
      <w:r>
        <w:rPr>
          <w:rFonts w:hint="eastAsia" w:ascii="黑体" w:hAnsi="黑体" w:eastAsia="黑体" w:cs="黑体"/>
          <w:sz w:val="21"/>
          <w:szCs w:val="21"/>
        </w:rPr>
        <w:t>仪器与设备</w:t>
      </w:r>
    </w:p>
    <w:p w14:paraId="098B6A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Times New Roman" w:hAnsi="Times New Roman" w:cs="Times New Roman"/>
          <w:sz w:val="21"/>
          <w:szCs w:val="21"/>
        </w:rPr>
      </w:pPr>
      <w:commentRangeStart w:id="10"/>
      <w:r>
        <w:rPr>
          <w:rFonts w:hint="eastAsia" w:ascii="Times New Roman" w:hAnsi="Times New Roman" w:cs="Times New Roman"/>
          <w:sz w:val="21"/>
          <w:szCs w:val="21"/>
        </w:rPr>
        <w:t>SX-500全自动高压灭菌器</w:t>
      </w:r>
      <w:commentRangeEnd w:id="10"/>
      <w:r>
        <w:commentReference w:id="10"/>
      </w:r>
      <w:r>
        <w:rPr>
          <w:rFonts w:hint="eastAsia" w:ascii="Times New Roman" w:hAnsi="Times New Roman" w:cs="Times New Roman"/>
          <w:sz w:val="21"/>
          <w:szCs w:val="21"/>
        </w:rPr>
        <w:t>，</w:t>
      </w:r>
      <w:commentRangeStart w:id="11"/>
      <w:r>
        <w:rPr>
          <w:rFonts w:hint="eastAsia" w:ascii="Times New Roman" w:hAnsi="Times New Roman" w:cs="Times New Roman"/>
          <w:sz w:val="21"/>
          <w:szCs w:val="21"/>
        </w:rPr>
        <w:t>日本TomyDigitalBiology公司</w:t>
      </w:r>
      <w:commentRangeEnd w:id="11"/>
      <w:r>
        <w:commentReference w:id="11"/>
      </w:r>
      <w:r>
        <w:rPr>
          <w:rFonts w:hint="eastAsia" w:ascii="Times New Roman" w:hAnsi="Times New Roman" w:cs="Times New Roman"/>
          <w:sz w:val="21"/>
          <w:szCs w:val="21"/>
        </w:rPr>
        <w:t>；METTLERTOLEDO电子分析天平，上海梅特勒-托利多仪器有限公司；DNP-9082 电热恒温培养箱，上海精宏实验设备有限公司；SW-CJ-2FD超净工作台，苏州安泰空气技术有限公司；BCD-532WDPT冰箱，青岛海尔股份有限公司；Scientz-IID超声波细胞粉碎机，宁波新芝生物科技公司；Waters e2695液相色谱，上海沃特世科技有限公司；S6000高效液相色谱仪，华谱科仪北京科技有限公司。</w:t>
      </w:r>
    </w:p>
    <w:p w14:paraId="54686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</w:t>
      </w:r>
      <w:r>
        <w:rPr>
          <w:rFonts w:hint="eastAsia" w:cs="Times New Roman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/>
          <w:sz w:val="21"/>
          <w:szCs w:val="21"/>
        </w:rPr>
        <w:t xml:space="preserve">  </w:t>
      </w:r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>试验</w:t>
      </w:r>
      <w:r>
        <w:rPr>
          <w:rFonts w:hint="eastAsia" w:ascii="黑体" w:hAnsi="黑体" w:eastAsia="黑体" w:cs="黑体"/>
          <w:sz w:val="21"/>
          <w:szCs w:val="21"/>
        </w:rPr>
        <w:t>方法</w:t>
      </w:r>
    </w:p>
    <w:p w14:paraId="21FD9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</w:t>
      </w:r>
      <w:r>
        <w:rPr>
          <w:rFonts w:hint="eastAsia" w:cs="Times New Roman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/>
          <w:sz w:val="21"/>
          <w:szCs w:val="21"/>
        </w:rPr>
        <w:t>.1  菌株培养与菌落计数</w:t>
      </w:r>
    </w:p>
    <w:p w14:paraId="64F647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将-80</w:t>
      </w:r>
      <w:commentRangeStart w:id="12"/>
      <w:r>
        <w:rPr>
          <w:rFonts w:ascii="Times New Roman" w:hAnsi="Times New Roman" w:cs="Times New Roman"/>
          <w:sz w:val="21"/>
          <w:szCs w:val="21"/>
        </w:rPr>
        <w:t xml:space="preserve"> </w:t>
      </w:r>
      <w:commentRangeEnd w:id="12"/>
      <w:r>
        <w:commentReference w:id="12"/>
      </w:r>
      <w:r>
        <w:rPr>
          <w:rFonts w:hint="eastAsia" w:ascii="宋体" w:hAnsi="宋体" w:eastAsia="宋体" w:cs="宋体"/>
          <w:sz w:val="21"/>
          <w:szCs w:val="21"/>
        </w:rPr>
        <w:t>℃</w:t>
      </w:r>
      <w:r>
        <w:rPr>
          <w:rFonts w:ascii="Times New Roman" w:hAnsi="Times New Roman" w:cs="Times New Roman"/>
          <w:sz w:val="21"/>
          <w:szCs w:val="21"/>
        </w:rPr>
        <w:t>保存的菌液划线于LB平板，37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℃</w:t>
      </w:r>
      <w:r>
        <w:rPr>
          <w:rFonts w:ascii="Times New Roman" w:hAnsi="Times New Roman" w:cs="Times New Roman"/>
          <w:sz w:val="21"/>
          <w:szCs w:val="21"/>
        </w:rPr>
        <w:t>培养18</w:t>
      </w:r>
      <w:commentRangeStart w:id="13"/>
      <w:r>
        <w:rPr>
          <w:rFonts w:hint="eastAsia" w:cs="Times New Roman"/>
          <w:sz w:val="21"/>
          <w:szCs w:val="21"/>
          <w:lang w:val="en-US" w:eastAsia="zh-CN"/>
        </w:rPr>
        <w:t>~</w:t>
      </w:r>
      <w:commentRangeEnd w:id="13"/>
      <w:r>
        <w:commentReference w:id="13"/>
      </w:r>
      <w:r>
        <w:rPr>
          <w:rFonts w:ascii="Times New Roman" w:hAnsi="Times New Roman" w:cs="Times New Roman"/>
          <w:sz w:val="21"/>
          <w:szCs w:val="21"/>
        </w:rPr>
        <w:t>24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h，挑取一单菌落接种于200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mL BHI肉汤培养基，37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℃</w:t>
      </w:r>
      <w:r>
        <w:rPr>
          <w:rFonts w:hint="eastAsia" w:ascii="Times New Roman" w:hAnsi="Times New Roman" w:cs="Times New Roman"/>
          <w:sz w:val="21"/>
          <w:szCs w:val="21"/>
        </w:rPr>
        <w:t>、</w:t>
      </w:r>
      <w:r>
        <w:rPr>
          <w:rFonts w:ascii="Times New Roman" w:hAnsi="Times New Roman" w:cs="Times New Roman"/>
          <w:sz w:val="21"/>
          <w:szCs w:val="21"/>
        </w:rPr>
        <w:t>100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r/min摇床培养18</w:t>
      </w:r>
      <w:r>
        <w:rPr>
          <w:rFonts w:hint="eastAsia" w:cs="Times New Roman"/>
          <w:sz w:val="21"/>
          <w:szCs w:val="21"/>
          <w:lang w:val="en-US" w:eastAsia="zh-CN"/>
        </w:rPr>
        <w:t>~</w:t>
      </w:r>
      <w:r>
        <w:rPr>
          <w:rFonts w:ascii="Times New Roman" w:hAnsi="Times New Roman" w:cs="Times New Roman"/>
          <w:sz w:val="21"/>
          <w:szCs w:val="21"/>
        </w:rPr>
        <w:t>24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h。</w:t>
      </w:r>
    </w:p>
    <w:p w14:paraId="6D9BCE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通过菌落计数法确定BHI培养基中</w:t>
      </w:r>
      <w:r>
        <w:rPr>
          <w:rFonts w:hint="eastAsia" w:ascii="Times New Roman" w:hAnsi="Times New Roman" w:cs="Times New Roman"/>
          <w:sz w:val="21"/>
          <w:szCs w:val="21"/>
        </w:rPr>
        <w:t>阪崎克罗诺杆菌</w:t>
      </w:r>
      <w:r>
        <w:rPr>
          <w:rFonts w:ascii="Times New Roman" w:hAnsi="Times New Roman" w:cs="Times New Roman"/>
          <w:sz w:val="21"/>
          <w:szCs w:val="21"/>
        </w:rPr>
        <w:t>的初始浓度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[2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3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]</w:t>
      </w:r>
      <w:r>
        <w:rPr>
          <w:rFonts w:ascii="Times New Roman" w:hAnsi="Times New Roman" w:cs="Times New Roman"/>
          <w:sz w:val="21"/>
          <w:szCs w:val="21"/>
        </w:rPr>
        <w:t>。吸取1mL的BHI培养物加入9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mL的生理盐水中进行10倍梯度稀释，选择2</w:t>
      </w:r>
      <w:r>
        <w:rPr>
          <w:rFonts w:hint="eastAsia" w:cs="Times New Roman"/>
          <w:sz w:val="21"/>
          <w:szCs w:val="21"/>
          <w:lang w:val="en-US" w:eastAsia="zh-CN"/>
        </w:rPr>
        <w:t>~</w:t>
      </w:r>
      <w:r>
        <w:rPr>
          <w:rFonts w:ascii="Times New Roman" w:hAnsi="Times New Roman" w:cs="Times New Roman"/>
          <w:sz w:val="21"/>
          <w:szCs w:val="21"/>
        </w:rPr>
        <w:t>3个适宜的稀释度，取1mL稀释液涂布于LB平板，每个稀释度设</w:t>
      </w:r>
      <w:r>
        <w:rPr>
          <w:rFonts w:hint="eastAsia" w:ascii="Times New Roman" w:hAnsi="Times New Roman" w:cs="Times New Roman"/>
          <w:sz w:val="21"/>
          <w:szCs w:val="21"/>
        </w:rPr>
        <w:t>3</w:t>
      </w:r>
      <w:r>
        <w:rPr>
          <w:rFonts w:ascii="Times New Roman" w:hAnsi="Times New Roman" w:cs="Times New Roman"/>
          <w:sz w:val="21"/>
          <w:szCs w:val="21"/>
        </w:rPr>
        <w:t>个平行，37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yellow"/>
        </w:rPr>
        <w:t>℃</w:t>
      </w:r>
      <w:r>
        <w:rPr>
          <w:rFonts w:ascii="Times New Roman" w:hAnsi="Times New Roman" w:cs="Times New Roman"/>
          <w:sz w:val="21"/>
          <w:szCs w:val="21"/>
        </w:rPr>
        <w:t xml:space="preserve">培养24 </w:t>
      </w:r>
      <w:r>
        <w:rPr>
          <w:rFonts w:ascii="Times New Roman" w:hAnsi="Times New Roman" w:cs="Times New Roman"/>
          <w:sz w:val="21"/>
          <w:szCs w:val="21"/>
          <w:highlight w:val="yellow"/>
        </w:rPr>
        <w:t>h</w:t>
      </w:r>
      <w:r>
        <w:rPr>
          <w:rFonts w:ascii="Times New Roman" w:hAnsi="Times New Roman" w:cs="Times New Roman"/>
          <w:sz w:val="21"/>
          <w:szCs w:val="21"/>
        </w:rPr>
        <w:t>，选取菌落数在30~300之间、无蔓延菌落生长的平板计数，最终浓度以每毫升菌液的菌落形成单位（</w:t>
      </w:r>
      <w:r>
        <w:rPr>
          <w:rFonts w:hint="eastAsia" w:ascii="Times New Roman" w:hAnsi="Times New Roman" w:cs="Times New Roman"/>
          <w:sz w:val="21"/>
          <w:szCs w:val="21"/>
        </w:rPr>
        <w:t xml:space="preserve">Colony </w:t>
      </w:r>
      <w:r>
        <w:rPr>
          <w:rFonts w:hint="eastAsia" w:cs="Times New Roman"/>
          <w:sz w:val="21"/>
          <w:szCs w:val="21"/>
          <w:lang w:val="en-US" w:eastAsia="zh-CN"/>
        </w:rPr>
        <w:t>f</w:t>
      </w:r>
      <w:r>
        <w:rPr>
          <w:rFonts w:hint="eastAsia" w:ascii="Times New Roman" w:hAnsi="Times New Roman" w:cs="Times New Roman"/>
          <w:sz w:val="21"/>
          <w:szCs w:val="21"/>
        </w:rPr>
        <w:t xml:space="preserve">orming </w:t>
      </w:r>
      <w:r>
        <w:rPr>
          <w:rFonts w:hint="eastAsia" w:cs="Times New Roman"/>
          <w:sz w:val="21"/>
          <w:szCs w:val="21"/>
          <w:lang w:val="en-US" w:eastAsia="zh-CN"/>
        </w:rPr>
        <w:t>u</w:t>
      </w:r>
      <w:r>
        <w:rPr>
          <w:rFonts w:hint="eastAsia" w:ascii="Times New Roman" w:hAnsi="Times New Roman" w:cs="Times New Roman"/>
          <w:sz w:val="21"/>
          <w:szCs w:val="21"/>
        </w:rPr>
        <w:t xml:space="preserve">nit, </w:t>
      </w:r>
      <w:r>
        <w:rPr>
          <w:rFonts w:ascii="Times New Roman" w:hAnsi="Times New Roman" w:cs="Times New Roman"/>
          <w:sz w:val="21"/>
          <w:szCs w:val="21"/>
        </w:rPr>
        <w:t>CFU）平均值表示。</w:t>
      </w:r>
    </w:p>
    <w:p w14:paraId="36AD6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</w:t>
      </w:r>
      <w:r>
        <w:rPr>
          <w:rFonts w:hint="eastAsia" w:cs="Times New Roman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/>
          <w:sz w:val="21"/>
          <w:szCs w:val="21"/>
        </w:rPr>
        <w:t>.2  RPIF制备</w:t>
      </w:r>
    </w:p>
    <w:p w14:paraId="79FC34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根据奶粉</w:t>
      </w:r>
      <w:r>
        <w:rPr>
          <w:rFonts w:hint="eastAsia" w:ascii="Times New Roman" w:hAnsi="Times New Roman" w:cs="Times New Roman"/>
          <w:sz w:val="21"/>
          <w:szCs w:val="21"/>
        </w:rPr>
        <w:t>外</w:t>
      </w:r>
      <w:r>
        <w:rPr>
          <w:rFonts w:ascii="Times New Roman" w:hAnsi="Times New Roman" w:cs="Times New Roman"/>
          <w:sz w:val="21"/>
          <w:szCs w:val="21"/>
        </w:rPr>
        <w:t>包装袋上的使用说明冲调</w:t>
      </w:r>
      <w:r>
        <w:rPr>
          <w:rFonts w:hint="eastAsia" w:ascii="Times New Roman" w:hAnsi="Times New Roman" w:cs="Times New Roman"/>
          <w:sz w:val="21"/>
          <w:szCs w:val="21"/>
        </w:rPr>
        <w:t>乳</w:t>
      </w:r>
      <w:r>
        <w:rPr>
          <w:rFonts w:ascii="Times New Roman" w:hAnsi="Times New Roman" w:cs="Times New Roman"/>
          <w:sz w:val="21"/>
          <w:szCs w:val="21"/>
        </w:rPr>
        <w:t>粉溶液</w:t>
      </w:r>
      <w:r>
        <w:rPr>
          <w:rFonts w:hint="eastAsia" w:ascii="Times New Roman" w:hAnsi="Times New Roman" w:cs="Times New Roman"/>
          <w:sz w:val="21"/>
          <w:szCs w:val="21"/>
        </w:rPr>
        <w:t>。</w:t>
      </w:r>
      <w:r>
        <w:rPr>
          <w:rFonts w:ascii="Times New Roman" w:hAnsi="Times New Roman" w:cs="Times New Roman"/>
          <w:sz w:val="21"/>
          <w:szCs w:val="21"/>
        </w:rPr>
        <w:t>称取30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g</w:t>
      </w:r>
      <w:r>
        <w:rPr>
          <w:rFonts w:hint="eastAsia" w:ascii="Times New Roman" w:hAnsi="Times New Roman" w:cs="Times New Roman"/>
          <w:sz w:val="21"/>
          <w:szCs w:val="21"/>
        </w:rPr>
        <w:t>乳</w:t>
      </w:r>
      <w:r>
        <w:rPr>
          <w:rFonts w:ascii="Times New Roman" w:hAnsi="Times New Roman" w:cs="Times New Roman"/>
          <w:sz w:val="21"/>
          <w:szCs w:val="21"/>
        </w:rPr>
        <w:t>粉于120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mL灭菌水中，搅拌直至完全溶解。复溶乳粉分装至50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mL离心管中，每管10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commentRangeStart w:id="14"/>
      <w:r>
        <w:rPr>
          <w:rFonts w:ascii="Times New Roman" w:hAnsi="Times New Roman" w:cs="Times New Roman"/>
          <w:sz w:val="21"/>
          <w:szCs w:val="21"/>
        </w:rPr>
        <w:t>mL</w:t>
      </w:r>
      <w:commentRangeEnd w:id="14"/>
      <w:r>
        <w:commentReference w:id="14"/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hint="eastAsia" w:ascii="Times New Roman" w:hAnsi="Times New Roman" w:cs="Times New Roman"/>
          <w:sz w:val="21"/>
          <w:szCs w:val="21"/>
        </w:rPr>
        <w:t xml:space="preserve">121 </w:t>
      </w:r>
      <w:r>
        <w:rPr>
          <w:rFonts w:hint="eastAsia" w:ascii="宋体" w:hAnsi="宋体" w:eastAsia="宋体" w:cs="宋体"/>
          <w:sz w:val="21"/>
          <w:szCs w:val="21"/>
        </w:rPr>
        <w:t>℃</w:t>
      </w:r>
      <w:r>
        <w:rPr>
          <w:rFonts w:ascii="Times New Roman" w:hAnsi="Times New Roman" w:cs="Times New Roman"/>
          <w:sz w:val="21"/>
          <w:szCs w:val="21"/>
        </w:rPr>
        <w:t>灭菌</w:t>
      </w:r>
      <w:r>
        <w:rPr>
          <w:rFonts w:hint="eastAsia" w:ascii="Times New Roman" w:hAnsi="Times New Roman" w:cs="Times New Roman"/>
          <w:sz w:val="21"/>
          <w:szCs w:val="21"/>
        </w:rPr>
        <w:t>20 min，</w:t>
      </w:r>
      <w:r>
        <w:rPr>
          <w:rFonts w:ascii="Times New Roman" w:hAnsi="Times New Roman" w:cs="Times New Roman"/>
          <w:sz w:val="21"/>
          <w:szCs w:val="21"/>
        </w:rPr>
        <w:t>冷却备用。</w:t>
      </w:r>
    </w:p>
    <w:p w14:paraId="77C54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…………</w:t>
      </w:r>
      <w:r>
        <w:rPr>
          <w:rFonts w:hint="eastAsia" w:ascii="宋体" w:hAnsi="宋体" w:cs="宋体"/>
          <w:sz w:val="21"/>
          <w:szCs w:val="21"/>
          <w:lang w:eastAsia="zh-CN"/>
        </w:rPr>
        <w:t>（略）</w:t>
      </w:r>
    </w:p>
    <w:p w14:paraId="596DA2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</w:p>
    <w:p w14:paraId="0F4FA3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Times New Roman" w:hAnsi="Times New Roman" w:eastAsia="宋体" w:cs="Times New Roman"/>
          <w:b/>
          <w:bCs/>
          <w:sz w:val="15"/>
          <w:szCs w:val="15"/>
          <w:lang w:eastAsia="zh-CN"/>
        </w:rPr>
      </w:pPr>
      <w:commentRangeStart w:id="15"/>
      <w:r>
        <w:rPr>
          <w:rFonts w:hint="default" w:ascii="Times New Roman" w:hAnsi="Times New Roman" w:eastAsia="黑体" w:cs="Times New Roman"/>
          <w:b/>
          <w:bCs/>
          <w:color w:val="465C38"/>
          <w:sz w:val="28"/>
          <w:szCs w:val="28"/>
        </w:rPr>
        <w:t xml:space="preserve">2  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</w:rPr>
        <w:t>结果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  <w:lang w:eastAsia="zh-CN"/>
        </w:rPr>
        <w:t>与</w:t>
      </w:r>
      <w:commentRangeEnd w:id="15"/>
      <w:r>
        <w:commentReference w:id="15"/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  <w:lang w:val="en-US" w:eastAsia="zh-CN"/>
        </w:rPr>
        <w:t>分析</w:t>
      </w:r>
    </w:p>
    <w:p w14:paraId="7D165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2.1  RPIF中阪崎克罗诺杆菌生长曲线</w:t>
      </w:r>
    </w:p>
    <w:p w14:paraId="2C989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阪崎克罗诺杆菌ATCC BAA894在RPIF中4 ℃培养72 h后的生长曲线不符合S型</w:t>
      </w:r>
      <w:r>
        <w:rPr>
          <w:rFonts w:hint="eastAsia" w:cs="Times New Roman"/>
          <w:lang w:eastAsia="zh-CN"/>
        </w:rPr>
        <w:t>，</w:t>
      </w:r>
      <w:commentRangeStart w:id="16"/>
      <w:r>
        <w:rPr>
          <w:rFonts w:hint="eastAsia" w:cs="Times New Roman"/>
          <w:highlight w:val="yellow"/>
          <w:lang w:eastAsia="zh-CN"/>
        </w:rPr>
        <w:t>如</w:t>
      </w:r>
      <w:r>
        <w:rPr>
          <w:rFonts w:hint="eastAsia" w:ascii="Times New Roman" w:hAnsi="Times New Roman" w:cs="Times New Roman"/>
          <w:highlight w:val="yellow"/>
        </w:rPr>
        <w:t>表1，图1</w:t>
      </w:r>
      <w:r>
        <w:rPr>
          <w:rFonts w:hint="eastAsia" w:cs="Times New Roman"/>
          <w:highlight w:val="yellow"/>
          <w:lang w:eastAsia="zh-CN"/>
        </w:rPr>
        <w:t>（</w:t>
      </w:r>
      <w:r>
        <w:rPr>
          <w:rFonts w:hint="eastAsia" w:ascii="Times New Roman" w:hAnsi="Times New Roman" w:cs="Times New Roman"/>
          <w:highlight w:val="yellow"/>
        </w:rPr>
        <w:t>a</w:t>
      </w:r>
      <w:r>
        <w:rPr>
          <w:rFonts w:hint="eastAsia" w:cs="Times New Roman"/>
          <w:highlight w:val="yellow"/>
          <w:lang w:eastAsia="zh-CN"/>
        </w:rPr>
        <w:t>）所示</w:t>
      </w:r>
      <w:commentRangeEnd w:id="16"/>
      <w:r>
        <w:commentReference w:id="16"/>
      </w:r>
      <w:r>
        <w:rPr>
          <w:rFonts w:hint="eastAsia" w:ascii="Times New Roman" w:hAnsi="Times New Roman" w:cs="Times New Roman"/>
        </w:rPr>
        <w:t>。在15、25 ℃和37 ℃下培养后，采用Gompertz、Logistic模型进行拟合</w:t>
      </w:r>
      <w:r>
        <w:rPr>
          <w:rFonts w:hint="eastAsia" w:cs="Times New Roman"/>
          <w:lang w:eastAsia="zh-CN"/>
        </w:rPr>
        <w:t>，如</w:t>
      </w:r>
      <w:r>
        <w:rPr>
          <w:rFonts w:hint="eastAsia" w:ascii="Times New Roman" w:hAnsi="Times New Roman" w:cs="Times New Roman"/>
          <w:highlight w:val="yellow"/>
        </w:rPr>
        <w:t>表1，表2</w:t>
      </w:r>
      <w:r>
        <w:rPr>
          <w:rFonts w:hint="eastAsia" w:cs="Times New Roman"/>
          <w:lang w:eastAsia="zh-CN"/>
        </w:rPr>
        <w:t>所示</w:t>
      </w:r>
      <w:r>
        <w:rPr>
          <w:rFonts w:hint="eastAsia" w:ascii="Times New Roman" w:hAnsi="Times New Roman" w:cs="Times New Roman"/>
        </w:rPr>
        <w:t>，各拟合方程的标准差和相关系数表明，与Logistic模型相比，Gompertz方程拟合的一级生长模型较好。</w:t>
      </w:r>
    </w:p>
    <w:p w14:paraId="2EB3C2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Times New Roman" w:hAnsi="Times New Roman" w:cs="Times New Roman"/>
        </w:rPr>
      </w:pPr>
    </w:p>
    <w:p w14:paraId="3EDF7CC1">
      <w:pPr>
        <w:jc w:val="center"/>
        <w:rPr>
          <w:rStyle w:val="20"/>
          <w:rFonts w:hint="eastAsia" w:ascii="Times New Roman" w:hAnsi="Times New Roman" w:eastAsia="黑体" w:cs="Times New Roman"/>
          <w:b w:val="0"/>
          <w:bCs/>
          <w:sz w:val="18"/>
          <w:szCs w:val="18"/>
          <w:lang w:eastAsia="zh-CN"/>
        </w:rPr>
      </w:pPr>
      <w:commentRangeStart w:id="17"/>
      <w:r>
        <w:rPr>
          <w:rFonts w:hint="eastAsia" w:ascii="黑体" w:hAnsi="黑体" w:eastAsia="黑体" w:cs="黑体"/>
          <w:b w:val="0"/>
          <w:bCs/>
          <w:sz w:val="18"/>
          <w:szCs w:val="18"/>
        </w:rPr>
        <w:t>表</w:t>
      </w:r>
      <w:r>
        <w:rPr>
          <w:rFonts w:hint="default" w:ascii="Times New Roman" w:hAnsi="Times New Roman" w:eastAsia="黑体" w:cs="Times New Roman"/>
          <w:b w:val="0"/>
          <w:bCs/>
          <w:sz w:val="18"/>
          <w:szCs w:val="18"/>
        </w:rPr>
        <w:t>1  RPIF</w:t>
      </w:r>
      <w:r>
        <w:rPr>
          <w:rFonts w:hint="eastAsia" w:ascii="黑体" w:hAnsi="黑体" w:eastAsia="黑体" w:cs="黑体"/>
          <w:b w:val="0"/>
          <w:bCs/>
          <w:iCs/>
          <w:sz w:val="18"/>
          <w:szCs w:val="18"/>
        </w:rPr>
        <w:t>中</w:t>
      </w:r>
      <w:r>
        <w:rPr>
          <w:rFonts w:hint="eastAsia" w:ascii="黑体" w:hAnsi="黑体" w:eastAsia="黑体" w:cs="黑体"/>
          <w:b w:val="0"/>
          <w:bCs/>
          <w:sz w:val="18"/>
          <w:szCs w:val="18"/>
        </w:rPr>
        <w:t>阪崎克罗诺杆菌</w:t>
      </w:r>
      <w:r>
        <w:rPr>
          <w:rFonts w:hint="eastAsia" w:ascii="黑体" w:hAnsi="黑体" w:eastAsia="黑体" w:cs="黑体"/>
          <w:b w:val="0"/>
          <w:bCs/>
          <w:iCs/>
          <w:sz w:val="18"/>
          <w:szCs w:val="18"/>
        </w:rPr>
        <w:t>在</w:t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18"/>
          <w:szCs w:val="18"/>
        </w:rPr>
        <w:t xml:space="preserve">4 </w:t>
      </w:r>
      <w:r>
        <w:rPr>
          <w:rStyle w:val="20"/>
          <w:rFonts w:hint="default" w:ascii="Times New Roman" w:hAnsi="Times New Roman" w:eastAsia="黑体" w:cs="Times New Roman"/>
          <w:b w:val="0"/>
          <w:bCs/>
          <w:sz w:val="18"/>
          <w:szCs w:val="18"/>
        </w:rPr>
        <w:t xml:space="preserve">、15 、25 </w:t>
      </w:r>
      <w:r>
        <w:rPr>
          <w:rFonts w:hint="default" w:ascii="Times New Roman" w:hAnsi="Times New Roman" w:eastAsia="黑体" w:cs="Times New Roman"/>
          <w:b w:val="0"/>
          <w:bCs/>
          <w:sz w:val="18"/>
          <w:szCs w:val="18"/>
        </w:rPr>
        <w:t>℃</w:t>
      </w:r>
      <w:r>
        <w:rPr>
          <w:rStyle w:val="20"/>
          <w:rFonts w:hint="eastAsia" w:ascii="黑体" w:hAnsi="黑体" w:eastAsia="黑体" w:cs="黑体"/>
          <w:b w:val="0"/>
          <w:bCs/>
          <w:sz w:val="18"/>
          <w:szCs w:val="18"/>
        </w:rPr>
        <w:t>和</w:t>
      </w:r>
      <w:r>
        <w:rPr>
          <w:rStyle w:val="20"/>
          <w:rFonts w:hint="default" w:ascii="Times New Roman" w:hAnsi="Times New Roman" w:eastAsia="黑体" w:cs="Times New Roman"/>
          <w:b w:val="0"/>
          <w:bCs/>
          <w:sz w:val="18"/>
          <w:szCs w:val="18"/>
        </w:rPr>
        <w:t xml:space="preserve">37 </w:t>
      </w:r>
      <w:r>
        <w:rPr>
          <w:rFonts w:hint="default" w:ascii="Times New Roman" w:hAnsi="Times New Roman" w:eastAsia="黑体" w:cs="Times New Roman"/>
          <w:b w:val="0"/>
          <w:bCs/>
          <w:sz w:val="18"/>
          <w:szCs w:val="18"/>
        </w:rPr>
        <w:t>℃</w:t>
      </w:r>
      <w:r>
        <w:rPr>
          <w:rStyle w:val="20"/>
          <w:rFonts w:hint="eastAsia" w:ascii="黑体" w:hAnsi="黑体" w:eastAsia="黑体" w:cs="黑体"/>
          <w:b w:val="0"/>
          <w:bCs/>
          <w:sz w:val="18"/>
          <w:szCs w:val="18"/>
        </w:rPr>
        <w:t>下的生长</w:t>
      </w:r>
      <w:r>
        <w:rPr>
          <w:rStyle w:val="20"/>
          <w:rFonts w:hint="eastAsia" w:ascii="黑体" w:hAnsi="黑体" w:eastAsia="黑体" w:cs="黑体"/>
          <w:b w:val="0"/>
          <w:bCs/>
          <w:sz w:val="18"/>
          <w:szCs w:val="18"/>
          <w:lang w:val="en-US" w:eastAsia="zh-CN"/>
        </w:rPr>
        <w:t xml:space="preserve">   </w:t>
      </w:r>
      <w:r>
        <w:rPr>
          <w:rStyle w:val="20"/>
          <w:rFonts w:hint="default" w:ascii="Times New Roman" w:hAnsi="Times New Roman" w:eastAsia="黑体" w:cs="Times New Roman"/>
          <w:b w:val="0"/>
          <w:bCs/>
          <w:sz w:val="18"/>
          <w:szCs w:val="18"/>
        </w:rPr>
        <w:t>log</w:t>
      </w:r>
      <w:r>
        <w:rPr>
          <w:rStyle w:val="20"/>
          <w:rFonts w:hint="eastAsia" w:eastAsia="黑体" w:cs="Times New Roman"/>
          <w:b w:val="0"/>
          <w:bCs/>
          <w:sz w:val="18"/>
          <w:szCs w:val="18"/>
          <w:lang w:val="en-US" w:eastAsia="zh-CN"/>
        </w:rPr>
        <w:t>(</w:t>
      </w:r>
      <w:r>
        <w:rPr>
          <w:rStyle w:val="20"/>
          <w:rFonts w:hint="default" w:ascii="Times New Roman" w:hAnsi="Times New Roman" w:eastAsia="黑体" w:cs="Times New Roman"/>
          <w:b w:val="0"/>
          <w:bCs/>
          <w:sz w:val="18"/>
          <w:szCs w:val="18"/>
        </w:rPr>
        <w:t>CFU</w:t>
      </w:r>
      <w:r>
        <w:rPr>
          <w:rStyle w:val="20"/>
          <w:rFonts w:hint="eastAsia" w:eastAsia="黑体" w:cs="Times New Roman"/>
          <w:b w:val="0"/>
          <w:bCs/>
          <w:sz w:val="18"/>
          <w:szCs w:val="18"/>
          <w:lang w:val="en-US" w:eastAsia="zh-CN"/>
        </w:rPr>
        <w:t>/</w:t>
      </w:r>
      <w:r>
        <w:rPr>
          <w:rStyle w:val="20"/>
          <w:rFonts w:hint="default" w:ascii="Times New Roman" w:hAnsi="Times New Roman" w:eastAsia="黑体" w:cs="Times New Roman"/>
          <w:b w:val="0"/>
          <w:bCs/>
          <w:sz w:val="18"/>
          <w:szCs w:val="18"/>
        </w:rPr>
        <w:t>mL</w:t>
      </w:r>
      <w:r>
        <w:rPr>
          <w:rStyle w:val="20"/>
          <w:rFonts w:hint="eastAsia" w:eastAsia="黑体" w:cs="Times New Roman"/>
          <w:b w:val="0"/>
          <w:bCs/>
          <w:sz w:val="18"/>
          <w:szCs w:val="18"/>
          <w:lang w:val="en-US" w:eastAsia="zh-CN"/>
        </w:rPr>
        <w:t>)</w:t>
      </w:r>
      <w:commentRangeEnd w:id="17"/>
      <w:r>
        <w:commentReference w:id="17"/>
      </w: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892"/>
        <w:gridCol w:w="1013"/>
        <w:gridCol w:w="1150"/>
        <w:gridCol w:w="1142"/>
      </w:tblGrid>
      <w:tr w14:paraId="1773B9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vMerge w:val="restart"/>
            <w:tcBorders>
              <w:top w:val="single" w:color="auto" w:sz="12" w:space="0"/>
              <w:left w:val="nil"/>
              <w:right w:val="nil"/>
            </w:tcBorders>
            <w:vAlign w:val="center"/>
          </w:tcPr>
          <w:p w14:paraId="39A794C2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时间</w:t>
            </w:r>
            <w:r>
              <w:rPr>
                <w:rStyle w:val="20"/>
                <w:rFonts w:hint="default" w:ascii="Times New Roman" w:hAnsi="Times New Roman" w:cs="Times New Roman"/>
                <w:sz w:val="15"/>
                <w:szCs w:val="15"/>
              </w:rPr>
              <w:t>/</w:t>
            </w:r>
            <w:r>
              <w:rPr>
                <w:rStyle w:val="21"/>
                <w:sz w:val="15"/>
                <w:szCs w:val="15"/>
              </w:rPr>
              <w:t>h</w:t>
            </w:r>
          </w:p>
        </w:tc>
        <w:tc>
          <w:tcPr>
            <w:tcW w:w="4197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vAlign w:val="center"/>
          </w:tcPr>
          <w:p w14:paraId="5D85953B">
            <w:pPr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cs="Times New Roman"/>
                <w:color w:val="000000"/>
                <w:kern w:val="0"/>
                <w:sz w:val="15"/>
                <w:szCs w:val="15"/>
                <w:lang w:eastAsia="zh-CN"/>
              </w:rPr>
              <w:t>温度</w:t>
            </w:r>
            <w:r>
              <w:rPr>
                <w:rFonts w:hint="eastAsia" w:cs="Times New Roman"/>
                <w:color w:val="000000"/>
                <w:kern w:val="0"/>
                <w:sz w:val="15"/>
                <w:szCs w:val="15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15"/>
                <w:szCs w:val="15"/>
              </w:rPr>
              <w:t>℃</w:t>
            </w:r>
            <w:r>
              <w:rPr>
                <w:rStyle w:val="20"/>
                <w:rFonts w:hint="default" w:ascii="Times New Roman" w:hAnsi="Times New Roman" w:cs="Times New Roman"/>
                <w:sz w:val="15"/>
                <w:szCs w:val="15"/>
              </w:rPr>
              <w:t xml:space="preserve"> </w:t>
            </w:r>
          </w:p>
        </w:tc>
      </w:tr>
      <w:tr w14:paraId="6676A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264383A5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0C81BC3">
            <w:pPr>
              <w:jc w:val="center"/>
              <w:textAlignment w:val="center"/>
              <w:rPr>
                <w:rFonts w:ascii="Times New Roman" w:hAnsi="Times New Roman" w:eastAsia="宋体" w:cs="Times New Roman"/>
                <w:kern w:val="2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 xml:space="preserve">4 </w:t>
            </w:r>
          </w:p>
        </w:tc>
        <w:tc>
          <w:tcPr>
            <w:tcW w:w="101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87B1BDF">
            <w:pPr>
              <w:jc w:val="center"/>
              <w:textAlignment w:val="center"/>
              <w:rPr>
                <w:rFonts w:ascii="Times New Roman" w:hAnsi="Times New Roman" w:eastAsia="宋体" w:cs="Times New Roman"/>
                <w:kern w:val="2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 xml:space="preserve">15 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4F6E103">
            <w:pPr>
              <w:jc w:val="center"/>
              <w:textAlignment w:val="center"/>
              <w:rPr>
                <w:rFonts w:ascii="Times New Roman" w:hAnsi="Times New Roman" w:eastAsia="宋体" w:cs="Times New Roman"/>
                <w:kern w:val="2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 xml:space="preserve">25 </w:t>
            </w:r>
          </w:p>
        </w:tc>
        <w:tc>
          <w:tcPr>
            <w:tcW w:w="114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133112D">
            <w:pPr>
              <w:jc w:val="center"/>
              <w:textAlignment w:val="center"/>
              <w:rPr>
                <w:rFonts w:ascii="Times New Roman" w:hAnsi="Times New Roman" w:eastAsia="宋体" w:cs="Times New Roman"/>
                <w:kern w:val="2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 xml:space="preserve">37 </w:t>
            </w:r>
          </w:p>
        </w:tc>
      </w:tr>
      <w:tr w14:paraId="2861C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49C6217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89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1DF2E93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4.125</w:t>
            </w: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7A63600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4.125</w:t>
            </w:r>
          </w:p>
        </w:tc>
        <w:tc>
          <w:tcPr>
            <w:tcW w:w="115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3BF4C625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4.125</w:t>
            </w:r>
          </w:p>
        </w:tc>
        <w:tc>
          <w:tcPr>
            <w:tcW w:w="114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337B7D74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4.125</w:t>
            </w:r>
          </w:p>
        </w:tc>
      </w:tr>
      <w:tr w14:paraId="2EBF7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172DE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7EA7E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C07FD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713EA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4.669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CBF7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4.838</w:t>
            </w:r>
          </w:p>
        </w:tc>
      </w:tr>
      <w:tr w14:paraId="056CD7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D7D8A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818DC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D12E3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4.564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67923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5.190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B864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6.659</w:t>
            </w:r>
          </w:p>
        </w:tc>
      </w:tr>
      <w:tr w14:paraId="267F44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05AB4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A4A22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EE4C6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DF261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5.888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0E6EA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7.954</w:t>
            </w:r>
          </w:p>
        </w:tc>
      </w:tr>
      <w:tr w14:paraId="3FF0B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751D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CCB5C1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68353">
            <w:pPr>
              <w:jc w:val="center"/>
              <w:textAlignment w:val="center"/>
              <w:rPr>
                <w:rFonts w:ascii="Times New Roman" w:hAnsi="Times New Roman" w:eastAsia="宋体" w:cs="Times New Roman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5.477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D3E16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6.731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54871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8.461</w:t>
            </w:r>
          </w:p>
        </w:tc>
      </w:tr>
      <w:tr w14:paraId="1E7D6D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8245F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10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17053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E201B">
            <w:pPr>
              <w:jc w:val="center"/>
              <w:rPr>
                <w:rFonts w:ascii="Times New Roman" w:hAnsi="Times New Roman" w:eastAsia="宋体" w:cs="Times New Roman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15"/>
                <w:szCs w:val="15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0206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7.407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2C834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8.870</w:t>
            </w:r>
          </w:p>
        </w:tc>
      </w:tr>
      <w:tr w14:paraId="6F33EE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C31D0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12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EA5378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4.461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E7EB4">
            <w:pPr>
              <w:jc w:val="center"/>
              <w:textAlignment w:val="center"/>
              <w:rPr>
                <w:rFonts w:ascii="Times New Roman" w:hAnsi="Times New Roman" w:eastAsia="宋体" w:cs="Times New Roman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6.699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7C576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8.347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C3930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9.023</w:t>
            </w:r>
          </w:p>
        </w:tc>
      </w:tr>
      <w:tr w14:paraId="28F7F0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52D1C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14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F1179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49503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EBFCC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8.452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6F55A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9.046</w:t>
            </w:r>
          </w:p>
        </w:tc>
      </w:tr>
      <w:tr w14:paraId="481A67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5452E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16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0AFF2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44BCC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7.263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ABCAF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8.722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52E0C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9.160</w:t>
            </w:r>
          </w:p>
        </w:tc>
      </w:tr>
      <w:tr w14:paraId="78FBD2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65AE4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18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C7BCF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C74A6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92D53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8.897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CD2C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  <w:tr w14:paraId="4DE9C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67F1E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20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C8F3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7ED1F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7.753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71E3F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9.222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B5DA0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9.417</w:t>
            </w:r>
          </w:p>
        </w:tc>
      </w:tr>
      <w:tr w14:paraId="53A41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47F09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24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A6E1B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4.626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9F3C7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8.192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85728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9.176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FA42E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9.176</w:t>
            </w:r>
          </w:p>
        </w:tc>
      </w:tr>
      <w:tr w14:paraId="3F4FE4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5F2EB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28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EB312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43FE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8.435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783DA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9.301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60924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  <w:tr w14:paraId="2FBE9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E664E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32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A85FF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7A469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8.564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8D83B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9.407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8C58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9.250</w:t>
            </w:r>
          </w:p>
        </w:tc>
      </w:tr>
      <w:tr w14:paraId="4E9084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890AF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36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95AF8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4.564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B365B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8.859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80262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9.368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86799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9.435</w:t>
            </w:r>
          </w:p>
        </w:tc>
      </w:tr>
      <w:tr w14:paraId="60780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1096E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8D57D4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825E5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8.900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5D617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9.289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C9184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  <w:tr w14:paraId="4002F6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1AD6B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99B00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2B85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8.872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A7A91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F565B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  <w:tr w14:paraId="4960D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73094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187BD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4.659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B6AE5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8.980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628C2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72BA9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  <w:tr w14:paraId="676C6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D2138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52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DD243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85244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8.949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31CF8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3336C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  <w:tr w14:paraId="2CA315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585D7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56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D6D6A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39D18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9.041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C4B87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4673C">
            <w:pPr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  <w:tr w14:paraId="19A31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F524E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60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EC1E0">
            <w:pPr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4.637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D972B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84609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87F7D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  <w:tr w14:paraId="3A12F9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228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4FFD860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72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78E26309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4.679</w:t>
            </w:r>
          </w:p>
        </w:tc>
        <w:tc>
          <w:tcPr>
            <w:tcW w:w="1013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191F2C5A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55DFBADB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  <w:tc>
          <w:tcPr>
            <w:tcW w:w="1142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3568D8AF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-</w:t>
            </w:r>
          </w:p>
        </w:tc>
      </w:tr>
    </w:tbl>
    <w:p w14:paraId="7C569A6C">
      <w:pPr>
        <w:jc w:val="center"/>
        <w:rPr>
          <w:rFonts w:ascii="Times New Roman" w:hAnsi="Times New Roman" w:cs="Times New Roman"/>
          <w:sz w:val="15"/>
          <w:szCs w:val="15"/>
        </w:rPr>
      </w:pPr>
      <w:commentRangeStart w:id="18"/>
      <w:r>
        <w:rPr>
          <w:rFonts w:hint="eastAsia" w:ascii="Times New Roman" w:hAnsi="Times New Roman" w:cs="Times New Roman"/>
          <w:sz w:val="15"/>
          <w:szCs w:val="15"/>
        </w:rPr>
        <w:t>注</w:t>
      </w:r>
      <w:commentRangeEnd w:id="18"/>
      <w:r>
        <w:commentReference w:id="18"/>
      </w:r>
      <w:r>
        <w:rPr>
          <w:rFonts w:hint="eastAsia" w:cs="Times New Roman"/>
          <w:sz w:val="15"/>
          <w:szCs w:val="15"/>
          <w:lang w:eastAsia="zh-CN"/>
        </w:rPr>
        <w:t>:</w:t>
      </w:r>
      <w:r>
        <w:rPr>
          <w:rFonts w:hint="eastAsia" w:ascii="Times New Roman" w:hAnsi="Times New Roman" w:cs="Times New Roman"/>
          <w:sz w:val="15"/>
          <w:szCs w:val="15"/>
        </w:rPr>
        <w:t>RPIF为复溶婴儿奶粉（R</w:t>
      </w:r>
      <w:r>
        <w:rPr>
          <w:rFonts w:ascii="Times New Roman" w:hAnsi="Times New Roman" w:cs="Times New Roman"/>
          <w:sz w:val="15"/>
          <w:szCs w:val="15"/>
        </w:rPr>
        <w:t xml:space="preserve">econstituted </w:t>
      </w:r>
      <w:r>
        <w:rPr>
          <w:rFonts w:hint="eastAsia" w:ascii="Times New Roman" w:hAnsi="Times New Roman" w:cs="Times New Roman"/>
          <w:sz w:val="15"/>
          <w:szCs w:val="15"/>
        </w:rPr>
        <w:t>p</w:t>
      </w:r>
      <w:r>
        <w:rPr>
          <w:rFonts w:ascii="Times New Roman" w:hAnsi="Times New Roman" w:cs="Times New Roman"/>
          <w:sz w:val="15"/>
          <w:szCs w:val="15"/>
        </w:rPr>
        <w:t xml:space="preserve">owdered </w:t>
      </w:r>
      <w:r>
        <w:rPr>
          <w:rFonts w:hint="eastAsia" w:ascii="Times New Roman" w:hAnsi="Times New Roman" w:cs="Times New Roman"/>
          <w:sz w:val="15"/>
          <w:szCs w:val="15"/>
        </w:rPr>
        <w:t>i</w:t>
      </w:r>
      <w:r>
        <w:rPr>
          <w:rFonts w:ascii="Times New Roman" w:hAnsi="Times New Roman" w:cs="Times New Roman"/>
          <w:sz w:val="15"/>
          <w:szCs w:val="15"/>
        </w:rPr>
        <w:t xml:space="preserve">nfant </w:t>
      </w:r>
      <w:r>
        <w:rPr>
          <w:rFonts w:hint="eastAsia" w:ascii="Times New Roman" w:hAnsi="Times New Roman" w:cs="Times New Roman"/>
          <w:sz w:val="15"/>
          <w:szCs w:val="15"/>
        </w:rPr>
        <w:t>f</w:t>
      </w:r>
      <w:r>
        <w:rPr>
          <w:rFonts w:ascii="Times New Roman" w:hAnsi="Times New Roman" w:cs="Times New Roman"/>
          <w:sz w:val="15"/>
          <w:szCs w:val="15"/>
        </w:rPr>
        <w:t>ormula</w:t>
      </w:r>
      <w:r>
        <w:rPr>
          <w:rFonts w:hint="eastAsia" w:ascii="Times New Roman" w:hAnsi="Times New Roman" w:cs="Times New Roman"/>
          <w:sz w:val="15"/>
          <w:szCs w:val="15"/>
        </w:rPr>
        <w:t>）；“-”</w:t>
      </w:r>
      <w:r>
        <w:rPr>
          <w:rFonts w:hint="eastAsia" w:cs="Times New Roman"/>
          <w:sz w:val="15"/>
          <w:szCs w:val="15"/>
          <w:lang w:val="en-US" w:eastAsia="zh-CN"/>
        </w:rPr>
        <w:t>为</w:t>
      </w:r>
      <w:r>
        <w:rPr>
          <w:rFonts w:hint="eastAsia" w:ascii="Times New Roman" w:hAnsi="Times New Roman" w:cs="Times New Roman"/>
          <w:sz w:val="15"/>
          <w:szCs w:val="15"/>
        </w:rPr>
        <w:t>未在该时间点进行检测</w:t>
      </w:r>
    </w:p>
    <w:p w14:paraId="079EDFE1">
      <w:pPr>
        <w:jc w:val="center"/>
        <w:rPr>
          <w:rFonts w:hint="eastAsia" w:cs="Times New Roman"/>
          <w:lang w:eastAsia="zh-CN"/>
        </w:rPr>
      </w:pPr>
    </w:p>
    <w:p w14:paraId="5D064BC5">
      <w:pPr>
        <w:jc w:val="center"/>
        <w:rPr>
          <w:rStyle w:val="20"/>
          <w:rFonts w:hint="eastAsia" w:ascii="黑体" w:hAnsi="黑体" w:eastAsia="黑体" w:cs="黑体"/>
          <w:b w:val="0"/>
          <w:bCs/>
          <w:sz w:val="18"/>
          <w:szCs w:val="18"/>
        </w:rPr>
      </w:pPr>
      <w:r>
        <w:rPr>
          <w:rFonts w:hint="eastAsia" w:ascii="黑体" w:hAnsi="黑体" w:eastAsia="黑体" w:cs="黑体"/>
          <w:b w:val="0"/>
          <w:bCs/>
          <w:sz w:val="18"/>
          <w:szCs w:val="18"/>
        </w:rPr>
        <w:t>表</w:t>
      </w:r>
      <w:r>
        <w:rPr>
          <w:rFonts w:hint="default" w:ascii="Times New Roman" w:hAnsi="Times New Roman" w:eastAsia="黑体" w:cs="Times New Roman"/>
          <w:b w:val="0"/>
          <w:bCs/>
          <w:sz w:val="18"/>
          <w:szCs w:val="18"/>
        </w:rPr>
        <w:t>2  RPIF</w:t>
      </w:r>
      <w:r>
        <w:rPr>
          <w:rFonts w:hint="eastAsia" w:ascii="黑体" w:hAnsi="黑体" w:eastAsia="黑体" w:cs="黑体"/>
          <w:b w:val="0"/>
          <w:bCs/>
          <w:iCs/>
          <w:sz w:val="18"/>
          <w:szCs w:val="18"/>
        </w:rPr>
        <w:t>中</w:t>
      </w:r>
      <w:r>
        <w:rPr>
          <w:rFonts w:hint="eastAsia" w:ascii="黑体" w:hAnsi="黑体" w:eastAsia="黑体" w:cs="黑体"/>
          <w:b w:val="0"/>
          <w:bCs/>
          <w:sz w:val="18"/>
          <w:szCs w:val="18"/>
        </w:rPr>
        <w:t>阪崎克罗诺</w:t>
      </w:r>
      <w:r>
        <w:rPr>
          <w:rFonts w:hint="eastAsia" w:ascii="黑体" w:hAnsi="黑体" w:eastAsia="黑体" w:cs="黑体"/>
          <w:b w:val="0"/>
          <w:bCs/>
          <w:iCs/>
          <w:sz w:val="18"/>
          <w:szCs w:val="18"/>
        </w:rPr>
        <w:t>杆菌在</w:t>
      </w:r>
      <w:r>
        <w:rPr>
          <w:rStyle w:val="20"/>
          <w:rFonts w:hint="default" w:ascii="Times New Roman" w:hAnsi="Times New Roman" w:eastAsia="黑体" w:cs="Times New Roman"/>
          <w:b w:val="0"/>
          <w:bCs/>
          <w:sz w:val="18"/>
          <w:szCs w:val="18"/>
        </w:rPr>
        <w:t xml:space="preserve">15、25 </w:t>
      </w:r>
      <w:r>
        <w:rPr>
          <w:rFonts w:hint="default" w:ascii="Times New Roman" w:hAnsi="Times New Roman" w:eastAsia="黑体" w:cs="Times New Roman"/>
          <w:b w:val="0"/>
          <w:bCs/>
          <w:sz w:val="18"/>
          <w:szCs w:val="18"/>
        </w:rPr>
        <w:t>℃</w:t>
      </w:r>
      <w:r>
        <w:rPr>
          <w:rStyle w:val="20"/>
          <w:rFonts w:hint="eastAsia" w:ascii="黑体" w:hAnsi="黑体" w:eastAsia="黑体" w:cs="黑体"/>
          <w:b w:val="0"/>
          <w:bCs/>
          <w:sz w:val="18"/>
          <w:szCs w:val="18"/>
        </w:rPr>
        <w:t>和</w:t>
      </w:r>
      <w:r>
        <w:rPr>
          <w:rStyle w:val="20"/>
          <w:rFonts w:hint="default" w:ascii="Times New Roman" w:hAnsi="Times New Roman" w:eastAsia="黑体" w:cs="Times New Roman"/>
          <w:b w:val="0"/>
          <w:bCs/>
          <w:sz w:val="18"/>
          <w:szCs w:val="18"/>
        </w:rPr>
        <w:t>37</w:t>
      </w:r>
      <w:r>
        <w:rPr>
          <w:rStyle w:val="20"/>
          <w:rFonts w:hint="eastAsia" w:ascii="黑体" w:hAnsi="黑体" w:eastAsia="黑体" w:cs="黑体"/>
          <w:b w:val="0"/>
          <w:bCs/>
          <w:sz w:val="18"/>
          <w:szCs w:val="18"/>
        </w:rPr>
        <w:t xml:space="preserve"> </w:t>
      </w:r>
      <w:r>
        <w:rPr>
          <w:rFonts w:hint="eastAsia" w:ascii="黑体" w:hAnsi="黑体" w:eastAsia="黑体" w:cs="黑体"/>
          <w:b w:val="0"/>
          <w:bCs/>
          <w:sz w:val="18"/>
          <w:szCs w:val="18"/>
        </w:rPr>
        <w:t>℃</w:t>
      </w:r>
      <w:r>
        <w:rPr>
          <w:rStyle w:val="20"/>
          <w:rFonts w:hint="eastAsia" w:ascii="黑体" w:hAnsi="黑体" w:eastAsia="黑体" w:cs="黑体"/>
          <w:b w:val="0"/>
          <w:bCs/>
          <w:sz w:val="18"/>
          <w:szCs w:val="18"/>
        </w:rPr>
        <w:t>下的参数及</w:t>
      </w:r>
      <w:r>
        <w:rPr>
          <w:rStyle w:val="20"/>
          <w:rFonts w:hint="default" w:ascii="Times New Roman" w:hAnsi="Times New Roman" w:eastAsia="黑体" w:cs="Times New Roman"/>
          <w:b w:val="0"/>
          <w:bCs/>
          <w:sz w:val="18"/>
          <w:szCs w:val="18"/>
        </w:rPr>
        <w:t xml:space="preserve">Gompertz </w:t>
      </w:r>
      <w:r>
        <w:rPr>
          <w:rStyle w:val="20"/>
          <w:rFonts w:hint="eastAsia" w:ascii="黑体" w:hAnsi="黑体" w:eastAsia="黑体" w:cs="黑体"/>
          <w:b w:val="0"/>
          <w:bCs/>
          <w:sz w:val="18"/>
          <w:szCs w:val="18"/>
        </w:rPr>
        <w:t>模型</w:t>
      </w:r>
    </w:p>
    <w:tbl>
      <w:tblPr>
        <w:tblStyle w:val="10"/>
        <w:tblpPr w:leftFromText="180" w:rightFromText="180" w:vertAnchor="text" w:horzAnchor="margin" w:tblpXSpec="center" w:tblpY="133"/>
        <w:tblOverlap w:val="never"/>
        <w:tblW w:w="8095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0"/>
        <w:gridCol w:w="737"/>
        <w:gridCol w:w="964"/>
        <w:gridCol w:w="16"/>
        <w:gridCol w:w="778"/>
        <w:gridCol w:w="1206"/>
        <w:gridCol w:w="3544"/>
      </w:tblGrid>
      <w:tr w14:paraId="295998F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" w:hRule="atLeas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5496917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温度/</w:t>
            </w:r>
            <w:r>
              <w:rPr>
                <w:rFonts w:hint="eastAsia" w:ascii="宋体" w:hAnsi="宋体" w:eastAsia="宋体" w:cs="宋体"/>
                <w:sz w:val="15"/>
                <w:szCs w:val="15"/>
              </w:rPr>
              <w:t>℃</w:t>
            </w:r>
          </w:p>
        </w:tc>
        <w:tc>
          <w:tcPr>
            <w:tcW w:w="1717" w:type="dxa"/>
            <w:gridSpan w:val="3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BCE9E1F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Gompertz</w:t>
            </w:r>
          </w:p>
        </w:tc>
        <w:tc>
          <w:tcPr>
            <w:tcW w:w="1984" w:type="dxa"/>
            <w:gridSpan w:val="2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C96660F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Logistic</w:t>
            </w:r>
          </w:p>
        </w:tc>
        <w:tc>
          <w:tcPr>
            <w:tcW w:w="3544" w:type="dxa"/>
            <w:vMerge w:val="restar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169546D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Gompertz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模型</w:t>
            </w:r>
          </w:p>
        </w:tc>
      </w:tr>
      <w:tr w14:paraId="223C6F2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F58B6B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3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D94233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标准差</w:t>
            </w:r>
          </w:p>
        </w:tc>
        <w:tc>
          <w:tcPr>
            <w:tcW w:w="96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37719A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相关系数</w:t>
            </w:r>
          </w:p>
        </w:tc>
        <w:tc>
          <w:tcPr>
            <w:tcW w:w="79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49D8AF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标准差</w:t>
            </w:r>
          </w:p>
        </w:tc>
        <w:tc>
          <w:tcPr>
            <w:tcW w:w="120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03607B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相关系数</w:t>
            </w:r>
          </w:p>
        </w:tc>
        <w:tc>
          <w:tcPr>
            <w:tcW w:w="3544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6FC3DB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14:paraId="06C9348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850" w:type="dxa"/>
            <w:tcBorders>
              <w:top w:val="single" w:color="auto" w:sz="4" w:space="0"/>
              <w:bottom w:val="nil"/>
            </w:tcBorders>
            <w:vAlign w:val="center"/>
          </w:tcPr>
          <w:p w14:paraId="1213B46B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15</w:t>
            </w:r>
          </w:p>
        </w:tc>
        <w:tc>
          <w:tcPr>
            <w:tcW w:w="737" w:type="dxa"/>
            <w:tcBorders>
              <w:top w:val="single" w:color="auto" w:sz="4" w:space="0"/>
              <w:bottom w:val="nil"/>
            </w:tcBorders>
            <w:vAlign w:val="center"/>
          </w:tcPr>
          <w:p w14:paraId="276EFBCF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0.1411</w:t>
            </w:r>
          </w:p>
        </w:tc>
        <w:tc>
          <w:tcPr>
            <w:tcW w:w="964" w:type="dxa"/>
            <w:tcBorders>
              <w:top w:val="single" w:color="auto" w:sz="4" w:space="0"/>
              <w:bottom w:val="nil"/>
            </w:tcBorders>
            <w:vAlign w:val="center"/>
          </w:tcPr>
          <w:p w14:paraId="1F556F3C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0.9969</w:t>
            </w:r>
          </w:p>
        </w:tc>
        <w:tc>
          <w:tcPr>
            <w:tcW w:w="794" w:type="dxa"/>
            <w:gridSpan w:val="2"/>
            <w:tcBorders>
              <w:top w:val="single" w:color="auto" w:sz="4" w:space="0"/>
              <w:bottom w:val="nil"/>
            </w:tcBorders>
            <w:vAlign w:val="center"/>
          </w:tcPr>
          <w:p w14:paraId="76303C2A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0.2321</w:t>
            </w:r>
          </w:p>
        </w:tc>
        <w:tc>
          <w:tcPr>
            <w:tcW w:w="1206" w:type="dxa"/>
            <w:tcBorders>
              <w:top w:val="single" w:color="auto" w:sz="4" w:space="0"/>
              <w:bottom w:val="nil"/>
            </w:tcBorders>
            <w:vAlign w:val="center"/>
          </w:tcPr>
          <w:p w14:paraId="79B7A10B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0.9914</w:t>
            </w:r>
          </w:p>
        </w:tc>
        <w:tc>
          <w:tcPr>
            <w:tcW w:w="3544" w:type="dxa"/>
            <w:tcBorders>
              <w:top w:val="single" w:color="auto" w:sz="4" w:space="0"/>
              <w:bottom w:val="nil"/>
            </w:tcBorders>
            <w:vAlign w:val="center"/>
          </w:tcPr>
          <w:p w14:paraId="2679553D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Log(</w:t>
            </w:r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t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o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)= 4.8441exp{-exp[-0.1294</w:t>
            </w:r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t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+1.2601)]}</w:t>
            </w:r>
          </w:p>
        </w:tc>
      </w:tr>
      <w:tr w14:paraId="1E62AE5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850" w:type="dxa"/>
            <w:tcBorders>
              <w:top w:val="nil"/>
            </w:tcBorders>
            <w:vAlign w:val="center"/>
          </w:tcPr>
          <w:p w14:paraId="6253AF92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25</w:t>
            </w:r>
          </w:p>
        </w:tc>
        <w:tc>
          <w:tcPr>
            <w:tcW w:w="737" w:type="dxa"/>
            <w:tcBorders>
              <w:top w:val="nil"/>
            </w:tcBorders>
            <w:vAlign w:val="center"/>
          </w:tcPr>
          <w:p w14:paraId="074158FD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0.0995</w:t>
            </w:r>
          </w:p>
        </w:tc>
        <w:tc>
          <w:tcPr>
            <w:tcW w:w="964" w:type="dxa"/>
            <w:tcBorders>
              <w:top w:val="nil"/>
            </w:tcBorders>
            <w:vAlign w:val="center"/>
          </w:tcPr>
          <w:p w14:paraId="082888BF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0.9987</w:t>
            </w:r>
          </w:p>
        </w:tc>
        <w:tc>
          <w:tcPr>
            <w:tcW w:w="794" w:type="dxa"/>
            <w:gridSpan w:val="2"/>
            <w:tcBorders>
              <w:top w:val="nil"/>
            </w:tcBorders>
            <w:vAlign w:val="center"/>
          </w:tcPr>
          <w:p w14:paraId="49F795DB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0.1534</w:t>
            </w:r>
          </w:p>
        </w:tc>
        <w:tc>
          <w:tcPr>
            <w:tcW w:w="1206" w:type="dxa"/>
            <w:tcBorders>
              <w:top w:val="nil"/>
            </w:tcBorders>
            <w:vAlign w:val="center"/>
          </w:tcPr>
          <w:p w14:paraId="4EE7148E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0.9970</w:t>
            </w:r>
          </w:p>
        </w:tc>
        <w:tc>
          <w:tcPr>
            <w:tcW w:w="3544" w:type="dxa"/>
            <w:tcBorders>
              <w:top w:val="nil"/>
            </w:tcBorders>
            <w:vAlign w:val="center"/>
          </w:tcPr>
          <w:p w14:paraId="4EE6BDD5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Log(</w:t>
            </w:r>
            <w:commentRangeStart w:id="19"/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  <w:highlight w:val="none"/>
              </w:rPr>
              <w:t>N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t</w:t>
            </w:r>
            <w:commentRangeEnd w:id="19"/>
            <w:r>
              <w:commentReference w:id="19"/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o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) =5.2447exp{-exp[-0.2180</w:t>
            </w:r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  <w:highlight w:val="yellow"/>
              </w:rPr>
              <w:t>t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+1.3534)]}</w:t>
            </w:r>
          </w:p>
        </w:tc>
      </w:tr>
      <w:tr w14:paraId="1934D79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F99C5B6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37</w:t>
            </w:r>
          </w:p>
        </w:tc>
        <w:tc>
          <w:tcPr>
            <w:tcW w:w="737" w:type="dxa"/>
            <w:vAlign w:val="center"/>
          </w:tcPr>
          <w:p w14:paraId="534508CB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0.1419</w:t>
            </w:r>
          </w:p>
        </w:tc>
        <w:tc>
          <w:tcPr>
            <w:tcW w:w="964" w:type="dxa"/>
            <w:vAlign w:val="center"/>
          </w:tcPr>
          <w:p w14:paraId="02503076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0.9974</w:t>
            </w:r>
          </w:p>
        </w:tc>
        <w:tc>
          <w:tcPr>
            <w:tcW w:w="794" w:type="dxa"/>
            <w:gridSpan w:val="2"/>
            <w:vAlign w:val="center"/>
          </w:tcPr>
          <w:p w14:paraId="6B2CAECE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0.2249</w:t>
            </w:r>
          </w:p>
        </w:tc>
        <w:tc>
          <w:tcPr>
            <w:tcW w:w="1206" w:type="dxa"/>
            <w:vAlign w:val="center"/>
          </w:tcPr>
          <w:p w14:paraId="45D802D6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0.9934</w:t>
            </w:r>
          </w:p>
        </w:tc>
        <w:tc>
          <w:tcPr>
            <w:tcW w:w="3544" w:type="dxa"/>
            <w:vAlign w:val="center"/>
          </w:tcPr>
          <w:p w14:paraId="167C2DF5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Log(</w:t>
            </w:r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  <w:highlight w:val="yellow"/>
              </w:rPr>
              <w:t>N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t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o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)= 4.8338exp{-exp[-0.4336</w:t>
            </w:r>
            <w:r>
              <w:rPr>
                <w:rFonts w:ascii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t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+1.4648)]}</w:t>
            </w:r>
          </w:p>
        </w:tc>
      </w:tr>
    </w:tbl>
    <w:p w14:paraId="181D2A82">
      <w:pPr>
        <w:jc w:val="center"/>
        <w:rPr>
          <w:rFonts w:hint="eastAsia" w:ascii="Times New Roman" w:hAnsi="Times New Roman" w:eastAsia="宋体" w:cs="Times New Roman"/>
          <w:lang w:eastAsia="zh-CN"/>
        </w:rPr>
      </w:pPr>
    </w:p>
    <w:p w14:paraId="1EAA5367">
      <w:pPr>
        <w:jc w:val="center"/>
        <w:rPr>
          <w:rFonts w:hint="eastAsia" w:ascii="Times New Roman" w:hAnsi="Times New Roman" w:eastAsia="宋体" w:cs="Times New Roman"/>
          <w:lang w:eastAsia="zh-CN"/>
        </w:rPr>
      </w:pPr>
      <w:r>
        <w:rPr>
          <w:rFonts w:hint="eastAsia" w:ascii="Times New Roman" w:hAnsi="Times New Roman" w:eastAsia="宋体" w:cs="Times New Roman"/>
          <w:lang w:eastAsia="zh-CN"/>
        </w:rPr>
        <w:drawing>
          <wp:inline distT="0" distB="0" distL="114300" distR="114300">
            <wp:extent cx="2750820" cy="1371600"/>
            <wp:effectExtent l="0" t="0" r="11430" b="0"/>
            <wp:docPr id="7" name="图片 7" descr="20210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021014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5082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30DA9">
      <w:pPr>
        <w:ind w:firstLine="360" w:firstLineChars="200"/>
        <w:jc w:val="center"/>
        <w:rPr>
          <w:rFonts w:hint="default" w:ascii="Times New Roman" w:hAnsi="Times New Roman" w:cs="Times New Roman"/>
          <w:sz w:val="18"/>
          <w:szCs w:val="18"/>
          <w:lang w:eastAsia="zh-CN"/>
        </w:rPr>
      </w:pPr>
      <w:r>
        <w:rPr>
          <w:rFonts w:hint="default" w:ascii="Times New Roman" w:hAnsi="Times New Roman" w:cs="Times New Roman"/>
          <w:sz w:val="18"/>
          <w:szCs w:val="18"/>
          <w:lang w:eastAsia="zh-CN"/>
        </w:rPr>
        <w:t>（</w:t>
      </w:r>
      <w:r>
        <w:rPr>
          <w:rFonts w:hint="default" w:ascii="Times New Roman" w:hAnsi="Times New Roman" w:cs="Times New Roman"/>
          <w:sz w:val="18"/>
          <w:szCs w:val="18"/>
          <w:lang w:val="en-US" w:eastAsia="zh-CN"/>
        </w:rPr>
        <w:t>a</w:t>
      </w:r>
      <w:r>
        <w:rPr>
          <w:rFonts w:hint="default" w:ascii="Times New Roman" w:hAnsi="Times New Roman" w:cs="Times New Roman"/>
          <w:sz w:val="18"/>
          <w:szCs w:val="18"/>
          <w:lang w:eastAsia="zh-CN"/>
        </w:rPr>
        <w:t>）</w:t>
      </w:r>
    </w:p>
    <w:p w14:paraId="253DE728">
      <w:pPr>
        <w:ind w:firstLine="420" w:firstLineChars="200"/>
        <w:jc w:val="center"/>
        <w:rPr>
          <w:rFonts w:hint="eastAsia" w:cs="Times New Roman"/>
          <w:lang w:eastAsia="zh-CN"/>
        </w:rPr>
      </w:pPr>
    </w:p>
    <w:p w14:paraId="2E23C904">
      <w:pPr>
        <w:spacing w:line="360" w:lineRule="auto"/>
        <w:jc w:val="center"/>
        <w:rPr>
          <w:rFonts w:hint="eastAsia" w:ascii="黑体" w:hAnsi="黑体" w:eastAsia="黑体" w:cs="黑体"/>
          <w:sz w:val="18"/>
          <w:szCs w:val="18"/>
          <w:lang w:eastAsia="zh-CN"/>
        </w:rPr>
      </w:pPr>
      <w:r>
        <w:rPr>
          <w:rFonts w:hint="eastAsia" w:ascii="黑体" w:hAnsi="黑体" w:eastAsia="黑体" w:cs="黑体"/>
          <w:sz w:val="18"/>
          <w:szCs w:val="18"/>
          <w:lang w:eastAsia="zh-CN"/>
        </w:rPr>
        <w:drawing>
          <wp:inline distT="0" distB="0" distL="114300" distR="114300">
            <wp:extent cx="2736215" cy="1348105"/>
            <wp:effectExtent l="0" t="0" r="6985" b="4445"/>
            <wp:docPr id="8" name="图片 8" descr="20210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1014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3621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5D2EE">
      <w:pPr>
        <w:spacing w:line="360" w:lineRule="auto"/>
        <w:jc w:val="center"/>
        <w:rPr>
          <w:rFonts w:hint="default" w:ascii="Times New Roman" w:hAnsi="Times New Roman" w:eastAsia="黑体" w:cs="Times New Roman"/>
          <w:sz w:val="18"/>
          <w:szCs w:val="18"/>
          <w:lang w:val="en-US" w:eastAsia="zh-CN"/>
        </w:rPr>
      </w:pPr>
      <w:r>
        <w:rPr>
          <w:rFonts w:hint="default" w:ascii="Times New Roman" w:hAnsi="Times New Roman" w:eastAsia="黑体" w:cs="Times New Roman"/>
          <w:sz w:val="18"/>
          <w:szCs w:val="18"/>
          <w:lang w:val="en-US" w:eastAsia="zh-CN"/>
        </w:rPr>
        <w:t>(b)</w:t>
      </w:r>
    </w:p>
    <w:p w14:paraId="44F39E1F">
      <w:pPr>
        <w:spacing w:line="360" w:lineRule="auto"/>
        <w:jc w:val="center"/>
        <w:rPr>
          <w:rFonts w:hint="default" w:ascii="Times New Roman" w:hAnsi="Times New Roman" w:eastAsia="黑体" w:cs="Times New Roman"/>
          <w:sz w:val="18"/>
          <w:szCs w:val="18"/>
          <w:lang w:val="en-US" w:eastAsia="zh-CN"/>
        </w:rPr>
      </w:pPr>
      <w:r>
        <w:rPr>
          <w:rFonts w:hint="default" w:ascii="Times New Roman" w:hAnsi="Times New Roman" w:eastAsia="黑体" w:cs="Times New Roman"/>
          <w:sz w:val="18"/>
          <w:szCs w:val="18"/>
          <w:lang w:val="en-US" w:eastAsia="zh-CN"/>
        </w:rPr>
        <w:drawing>
          <wp:inline distT="0" distB="0" distL="114300" distR="114300">
            <wp:extent cx="2708910" cy="1339850"/>
            <wp:effectExtent l="0" t="0" r="15240" b="12700"/>
            <wp:docPr id="9" name="图片 9" descr="20210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21014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D717E">
      <w:pPr>
        <w:spacing w:line="360" w:lineRule="auto"/>
        <w:jc w:val="center"/>
        <w:rPr>
          <w:rFonts w:hint="eastAsia" w:eastAsia="黑体" w:cs="Times New Roman"/>
          <w:sz w:val="18"/>
          <w:szCs w:val="18"/>
          <w:lang w:val="en-US" w:eastAsia="zh-CN"/>
        </w:rPr>
      </w:pPr>
      <w:r>
        <w:rPr>
          <w:rFonts w:hint="eastAsia" w:eastAsia="黑体" w:cs="Times New Roman"/>
          <w:sz w:val="18"/>
          <w:szCs w:val="18"/>
          <w:lang w:val="en-US" w:eastAsia="zh-CN"/>
        </w:rPr>
        <w:t>(c)</w:t>
      </w:r>
    </w:p>
    <w:p w14:paraId="0C3270A5">
      <w:pPr>
        <w:spacing w:line="360" w:lineRule="auto"/>
        <w:jc w:val="center"/>
        <w:rPr>
          <w:rFonts w:hint="default" w:eastAsia="黑体" w:cs="Times New Roman"/>
          <w:sz w:val="18"/>
          <w:szCs w:val="18"/>
          <w:lang w:val="en-US" w:eastAsia="zh-CN"/>
        </w:rPr>
      </w:pPr>
      <w:r>
        <w:rPr>
          <w:rFonts w:hint="default" w:eastAsia="黑体" w:cs="Times New Roman"/>
          <w:sz w:val="18"/>
          <w:szCs w:val="18"/>
          <w:lang w:val="en-US" w:eastAsia="zh-CN"/>
        </w:rPr>
        <w:drawing>
          <wp:inline distT="0" distB="0" distL="114300" distR="114300">
            <wp:extent cx="2708275" cy="1367155"/>
            <wp:effectExtent l="0" t="0" r="15875" b="4445"/>
            <wp:docPr id="10" name="图片 10" descr="20210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21014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082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3C73B">
      <w:pPr>
        <w:spacing w:line="360" w:lineRule="auto"/>
        <w:jc w:val="center"/>
        <w:rPr>
          <w:rFonts w:hint="eastAsia" w:eastAsia="黑体" w:cs="Times New Roman"/>
          <w:sz w:val="18"/>
          <w:szCs w:val="18"/>
          <w:lang w:val="en-US" w:eastAsia="zh-CN"/>
        </w:rPr>
      </w:pPr>
      <w:r>
        <w:rPr>
          <w:rFonts w:hint="eastAsia" w:eastAsia="黑体" w:cs="Times New Roman"/>
          <w:sz w:val="18"/>
          <w:szCs w:val="18"/>
          <w:lang w:val="en-US" w:eastAsia="zh-CN"/>
        </w:rPr>
        <w:t>(d)</w:t>
      </w:r>
    </w:p>
    <w:p w14:paraId="4A4C7DBB">
      <w:pPr>
        <w:ind w:firstLine="300" w:firstLineChars="200"/>
        <w:jc w:val="left"/>
        <w:rPr>
          <w:rStyle w:val="20"/>
          <w:rFonts w:hint="eastAsia" w:cs="Times New Roman"/>
          <w:sz w:val="15"/>
          <w:szCs w:val="15"/>
          <w:lang w:eastAsia="zh-CN"/>
        </w:rPr>
      </w:pPr>
      <w:r>
        <w:rPr>
          <w:rStyle w:val="20"/>
          <w:rFonts w:hint="default" w:ascii="Times New Roman" w:hAnsi="Times New Roman" w:cs="Times New Roman"/>
          <w:sz w:val="15"/>
          <w:szCs w:val="15"/>
        </w:rPr>
        <w:t>（a）RPIF中阪崎克罗诺杆菌在4 ℃下的生长曲线</w:t>
      </w:r>
      <w:r>
        <w:rPr>
          <w:rStyle w:val="20"/>
          <w:rFonts w:hint="eastAsia" w:cs="Times New Roman"/>
          <w:sz w:val="15"/>
          <w:szCs w:val="15"/>
          <w:lang w:eastAsia="zh-CN"/>
        </w:rPr>
        <w:t>；</w:t>
      </w:r>
      <w:r>
        <w:rPr>
          <w:rStyle w:val="20"/>
          <w:rFonts w:hint="default" w:ascii="Times New Roman" w:hAnsi="Times New Roman" w:cs="Times New Roman"/>
          <w:sz w:val="15"/>
          <w:szCs w:val="15"/>
        </w:rPr>
        <w:t>（b）RPIF中阪崎克罗诺杆菌在15 ℃下的Gompertz生长模型</w:t>
      </w:r>
      <w:r>
        <w:rPr>
          <w:rStyle w:val="20"/>
          <w:rFonts w:hint="eastAsia" w:cs="Times New Roman"/>
          <w:sz w:val="15"/>
          <w:szCs w:val="15"/>
          <w:lang w:eastAsia="zh-CN"/>
        </w:rPr>
        <w:t>；</w:t>
      </w:r>
      <w:r>
        <w:rPr>
          <w:rStyle w:val="20"/>
          <w:rFonts w:hint="default" w:ascii="Times New Roman" w:hAnsi="Times New Roman" w:cs="Times New Roman"/>
          <w:sz w:val="15"/>
          <w:szCs w:val="15"/>
        </w:rPr>
        <w:t>（c）RPIF中阪崎克罗诺杆菌在25 ℃下的Gompertz生长模型</w:t>
      </w:r>
      <w:r>
        <w:rPr>
          <w:rStyle w:val="20"/>
          <w:rFonts w:hint="eastAsia" w:cs="Times New Roman"/>
          <w:sz w:val="15"/>
          <w:szCs w:val="15"/>
          <w:lang w:eastAsia="zh-CN"/>
        </w:rPr>
        <w:t>；</w:t>
      </w:r>
      <w:r>
        <w:rPr>
          <w:rStyle w:val="20"/>
          <w:rFonts w:hint="default" w:ascii="Times New Roman" w:hAnsi="Times New Roman" w:cs="Times New Roman"/>
          <w:sz w:val="15"/>
          <w:szCs w:val="15"/>
        </w:rPr>
        <w:t>（d）RPIF中阪崎克罗诺杆菌在37 ℃下的Gompertz生长模型</w:t>
      </w:r>
    </w:p>
    <w:p w14:paraId="03D68707">
      <w:pPr>
        <w:ind w:firstLine="360" w:firstLineChars="200"/>
        <w:jc w:val="center"/>
        <w:rPr>
          <w:rStyle w:val="20"/>
          <w:rFonts w:hint="default" w:ascii="Times New Roman" w:hAnsi="Times New Roman" w:cs="Times New Roman"/>
          <w:sz w:val="19"/>
          <w:szCs w:val="19"/>
        </w:rPr>
      </w:pPr>
      <w:commentRangeStart w:id="20"/>
      <w:r>
        <w:rPr>
          <w:rStyle w:val="20"/>
          <w:rFonts w:hint="eastAsia" w:ascii="黑体" w:hAnsi="黑体" w:eastAsia="黑体" w:cs="黑体"/>
          <w:sz w:val="18"/>
          <w:szCs w:val="18"/>
        </w:rPr>
        <w:t>图</w:t>
      </w:r>
      <w:r>
        <w:rPr>
          <w:rStyle w:val="20"/>
          <w:rFonts w:hint="default" w:ascii="Times New Roman" w:hAnsi="Times New Roman" w:eastAsia="黑体" w:cs="Times New Roman"/>
          <w:sz w:val="18"/>
          <w:szCs w:val="18"/>
        </w:rPr>
        <w:t xml:space="preserve">1  </w:t>
      </w:r>
      <w:r>
        <w:rPr>
          <w:rStyle w:val="20"/>
          <w:rFonts w:hint="eastAsia" w:ascii="黑体" w:hAnsi="黑体" w:eastAsia="黑体" w:cs="黑体"/>
          <w:sz w:val="18"/>
          <w:szCs w:val="18"/>
        </w:rPr>
        <w:t>不同温度下阪崎克罗诺杆菌的生长曲线</w:t>
      </w:r>
      <w:commentRangeEnd w:id="20"/>
      <w:r>
        <w:commentReference w:id="20"/>
      </w:r>
    </w:p>
    <w:p w14:paraId="17838CA5">
      <w:pPr>
        <w:ind w:firstLine="380" w:firstLineChars="200"/>
        <w:jc w:val="center"/>
        <w:rPr>
          <w:rStyle w:val="20"/>
          <w:rFonts w:hint="default" w:ascii="Times New Roman" w:hAnsi="Times New Roman" w:cs="Times New Roman"/>
          <w:sz w:val="19"/>
          <w:szCs w:val="19"/>
        </w:rPr>
      </w:pPr>
    </w:p>
    <w:p w14:paraId="29FC97F4">
      <w:pPr>
        <w:spacing w:line="360" w:lineRule="auto"/>
        <w:jc w:val="center"/>
        <w:rPr>
          <w:rFonts w:hint="eastAsia" w:ascii="宋体" w:hAnsi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…………</w:t>
      </w:r>
      <w:r>
        <w:rPr>
          <w:rFonts w:hint="eastAsia" w:ascii="宋体" w:hAnsi="宋体" w:cs="宋体"/>
          <w:sz w:val="21"/>
          <w:szCs w:val="21"/>
          <w:lang w:eastAsia="zh-CN"/>
        </w:rPr>
        <w:t>（略）</w:t>
      </w:r>
    </w:p>
    <w:p w14:paraId="1909E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color w:val="465C38"/>
          <w:sz w:val="28"/>
          <w:szCs w:val="28"/>
        </w:rPr>
        <w:t>3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</w:rPr>
        <w:t xml:space="preserve">  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  <w:lang w:val="en-US" w:eastAsia="zh-CN"/>
        </w:rPr>
        <w:t>讨 论</w:t>
      </w:r>
    </w:p>
    <w:p w14:paraId="375725CD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FF0000"/>
          <w:sz w:val="24"/>
          <w:lang w:eastAsia="zh-CN"/>
        </w:rPr>
      </w:pPr>
      <w:r>
        <w:rPr>
          <w:rFonts w:hint="eastAsia" w:ascii="仿宋_GB2312" w:hAnsi="仿宋_GB2312" w:eastAsia="仿宋_GB2312" w:cs="仿宋_GB2312"/>
          <w:color w:val="FF0000"/>
          <w:sz w:val="24"/>
        </w:rPr>
        <w:t>讨论一定要扣准文题和结果。参考内容</w:t>
      </w:r>
      <w:r>
        <w:rPr>
          <w:rFonts w:hint="eastAsia" w:ascii="仿宋_GB2312" w:hAnsi="仿宋_GB2312" w:eastAsia="仿宋_GB2312" w:cs="仿宋_GB2312"/>
          <w:color w:val="FF0000"/>
          <w:sz w:val="24"/>
          <w:lang w:eastAsia="zh-CN"/>
        </w:rPr>
        <w:t>:</w:t>
      </w:r>
    </w:p>
    <w:p w14:paraId="66BFF908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FF0000"/>
          <w:sz w:val="24"/>
        </w:rPr>
      </w:pPr>
      <w:r>
        <w:rPr>
          <w:rFonts w:hint="eastAsia" w:ascii="仿宋_GB2312" w:hAnsi="仿宋_GB2312" w:eastAsia="仿宋_GB2312" w:cs="仿宋_GB2312"/>
          <w:color w:val="FF0000"/>
          <w:sz w:val="24"/>
        </w:rPr>
        <w:t>（1）同类研究现状，在对比中说明本研究价值。比较本研究与他人研究的异同,作对比研究，并指出各自的优点和不足。讨论中不能只有一个同类结果对照，如已存在大量相似性研究，需添加有不同研究结果并指出本文创新点。</w:t>
      </w:r>
    </w:p>
    <w:p w14:paraId="35A348A7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FF0000"/>
          <w:sz w:val="24"/>
          <w:lang w:eastAsia="zh-CN"/>
        </w:rPr>
      </w:pPr>
      <w:r>
        <w:rPr>
          <w:rFonts w:hint="eastAsia" w:ascii="仿宋_GB2312" w:hAnsi="仿宋_GB2312" w:eastAsia="仿宋_GB2312" w:cs="仿宋_GB2312"/>
          <w:color w:val="FF0000"/>
          <w:sz w:val="24"/>
        </w:rPr>
        <w:t>（</w:t>
      </w:r>
      <w:r>
        <w:rPr>
          <w:rFonts w:hint="eastAsia" w:ascii="仿宋_GB2312" w:hAnsi="仿宋_GB2312" w:eastAsia="仿宋_GB2312" w:cs="仿宋_GB2312"/>
          <w:color w:val="FF0000"/>
          <w:sz w:val="24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FF0000"/>
          <w:sz w:val="24"/>
        </w:rPr>
        <w:t>）对结果揭示的情况作进一步的说明和解释,特别是本研究结果所具有的理论和实际意义。结合结果深入探讨与本研究相关的新方法、新理论以及预测发展趋势</w:t>
      </w:r>
      <w:r>
        <w:rPr>
          <w:rFonts w:hint="eastAsia" w:ascii="仿宋_GB2312" w:hAnsi="仿宋_GB2312" w:eastAsia="仿宋_GB2312" w:cs="仿宋_GB2312"/>
          <w:color w:val="FF0000"/>
          <w:sz w:val="24"/>
          <w:lang w:eastAsia="zh-CN"/>
        </w:rPr>
        <w:t>。</w:t>
      </w:r>
    </w:p>
    <w:p w14:paraId="2F4EC3D3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FF0000"/>
          <w:sz w:val="24"/>
        </w:rPr>
      </w:pPr>
      <w:r>
        <w:rPr>
          <w:rFonts w:hint="eastAsia" w:ascii="仿宋_GB2312" w:hAnsi="仿宋_GB2312" w:eastAsia="仿宋_GB2312" w:cs="仿宋_GB2312"/>
          <w:color w:val="FF0000"/>
          <w:sz w:val="24"/>
        </w:rPr>
        <w:t>（</w:t>
      </w:r>
      <w:r>
        <w:rPr>
          <w:rFonts w:hint="eastAsia" w:ascii="仿宋_GB2312" w:hAnsi="仿宋_GB2312" w:eastAsia="仿宋_GB2312" w:cs="仿宋_GB2312"/>
          <w:color w:val="FF0000"/>
          <w:sz w:val="24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FF0000"/>
          <w:sz w:val="24"/>
        </w:rPr>
        <w:t>）总结本研究的成败关键、经验和教训,客观地反映本研究的不足,包括研究中矛盾现象及尚难解决的问题; 有无后续完善性实验考虑。对进一步的研究提出建议或指出方向。</w:t>
      </w:r>
    </w:p>
    <w:p w14:paraId="5A8349BD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FF0000"/>
          <w:sz w:val="21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FF0000"/>
          <w:sz w:val="24"/>
        </w:rPr>
        <w:t>可以加二级标题。</w:t>
      </w:r>
    </w:p>
    <w:p w14:paraId="43C24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eastAsia" w:eastAsia="黑体" w:cs="Times New Roman"/>
          <w:b/>
          <w:bCs/>
          <w:color w:val="465C38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</w:rPr>
        <w:t xml:space="preserve">  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  <w:lang w:eastAsia="zh-CN"/>
        </w:rPr>
        <w:t>结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465C38"/>
          <w:sz w:val="28"/>
          <w:szCs w:val="28"/>
          <w:lang w:eastAsia="zh-CN"/>
        </w:rPr>
        <w:t>论</w:t>
      </w:r>
    </w:p>
    <w:p w14:paraId="5CAA7CA4">
      <w:pPr>
        <w:tabs>
          <w:tab w:val="left" w:pos="720"/>
        </w:tabs>
        <w:spacing w:line="360" w:lineRule="auto"/>
        <w:ind w:firstLine="480" w:firstLineChars="200"/>
        <w:rPr>
          <w:rFonts w:ascii="仿宋_GB2312" w:eastAsia="仿宋_GB2312"/>
          <w:color w:val="FF0000"/>
          <w:sz w:val="24"/>
        </w:rPr>
      </w:pPr>
      <w:r>
        <w:rPr>
          <w:rFonts w:hint="eastAsia" w:ascii="仿宋_GB2312" w:eastAsia="仿宋_GB2312"/>
          <w:color w:val="FF0000"/>
          <w:sz w:val="24"/>
        </w:rPr>
        <w:t>结论是全篇的总结。要对科技论文作全面的概括,应该注意的是</w:t>
      </w:r>
      <w:r>
        <w:rPr>
          <w:rFonts w:hint="eastAsia" w:ascii="仿宋_GB2312" w:eastAsia="仿宋_GB2312"/>
          <w:color w:val="FF0000"/>
          <w:sz w:val="24"/>
          <w:lang w:eastAsia="zh-CN"/>
        </w:rPr>
        <w:t>:</w:t>
      </w:r>
      <w:r>
        <w:rPr>
          <w:rFonts w:hint="eastAsia" w:ascii="仿宋_GB2312" w:eastAsia="仿宋_GB2312"/>
          <w:color w:val="FF0000"/>
          <w:sz w:val="24"/>
        </w:rPr>
        <w:t>结论并不仅是本文中的研究结果,而是在研究结果的基础上,进一步得出科学的结论,也即使研究由感性认识上升到理性认识。这是论文写作的重要一环,它是以正文的论述为基础,但较正文的表述更精炼、更集中、更典型、更有价值。</w:t>
      </w:r>
    </w:p>
    <w:p w14:paraId="297F3670">
      <w:pPr>
        <w:spacing w:line="360" w:lineRule="auto"/>
        <w:rPr>
          <w:rFonts w:hint="eastAsia" w:ascii="仿宋_GB2312" w:eastAsia="仿宋_GB2312"/>
          <w:b/>
          <w:color w:val="000000"/>
          <w:sz w:val="28"/>
          <w:szCs w:val="28"/>
          <w:highlight w:val="yellow"/>
        </w:rPr>
      </w:pPr>
    </w:p>
    <w:p w14:paraId="6CC4DF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黑体"/>
          <w:color w:val="465C38"/>
          <w:sz w:val="18"/>
          <w:szCs w:val="18"/>
        </w:rPr>
      </w:pPr>
      <w:commentRangeStart w:id="21"/>
      <w:r>
        <w:rPr>
          <w:rFonts w:hint="eastAsia" w:ascii="黑体" w:hAnsi="黑体" w:eastAsia="黑体" w:cs="黑体"/>
          <w:color w:val="465C38"/>
          <w:sz w:val="18"/>
          <w:szCs w:val="18"/>
          <w:lang w:eastAsia="zh-CN"/>
        </w:rPr>
        <w:t>参</w:t>
      </w:r>
      <w:r>
        <w:rPr>
          <w:rFonts w:hint="eastAsia" w:ascii="黑体" w:hAnsi="黑体" w:eastAsia="黑体" w:cs="黑体"/>
          <w:color w:val="465C38"/>
          <w:sz w:val="18"/>
          <w:szCs w:val="18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465C38"/>
          <w:sz w:val="18"/>
          <w:szCs w:val="18"/>
          <w:lang w:eastAsia="zh-CN"/>
        </w:rPr>
        <w:t>考</w:t>
      </w:r>
      <w:r>
        <w:rPr>
          <w:rFonts w:hint="eastAsia" w:ascii="黑体" w:hAnsi="黑体" w:eastAsia="黑体" w:cs="黑体"/>
          <w:color w:val="465C38"/>
          <w:sz w:val="18"/>
          <w:szCs w:val="18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465C38"/>
          <w:sz w:val="18"/>
          <w:szCs w:val="18"/>
          <w:lang w:eastAsia="zh-CN"/>
        </w:rPr>
        <w:t>文</w:t>
      </w:r>
      <w:r>
        <w:rPr>
          <w:rFonts w:hint="eastAsia" w:ascii="黑体" w:hAnsi="黑体" w:eastAsia="黑体" w:cs="黑体"/>
          <w:color w:val="465C38"/>
          <w:sz w:val="18"/>
          <w:szCs w:val="18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465C38"/>
          <w:sz w:val="18"/>
          <w:szCs w:val="18"/>
          <w:lang w:eastAsia="zh-CN"/>
        </w:rPr>
        <w:t>献</w:t>
      </w:r>
      <w:commentRangeEnd w:id="21"/>
      <w:r>
        <w:rPr>
          <w:rFonts w:hint="eastAsia" w:ascii="黑体" w:hAnsi="黑体" w:eastAsia="黑体" w:cs="黑体"/>
          <w:color w:val="465C38"/>
          <w:sz w:val="18"/>
          <w:szCs w:val="18"/>
        </w:rPr>
        <w:commentReference w:id="21"/>
      </w:r>
      <w:r>
        <w:rPr>
          <w:rFonts w:hint="eastAsia" w:ascii="黑体" w:hAnsi="黑体" w:eastAsia="黑体" w:cs="黑体"/>
          <w:color w:val="465C38"/>
          <w:sz w:val="18"/>
          <w:szCs w:val="18"/>
          <w:lang w:eastAsia="zh-CN"/>
        </w:rPr>
        <w:t>:</w:t>
      </w:r>
    </w:p>
    <w:p w14:paraId="4CA7697E">
      <w:pPr>
        <w:pStyle w:val="3"/>
        <w:rPr>
          <w:rFonts w:hint="eastAsia"/>
          <w:color w:val="FF0000"/>
          <w:lang w:val="en-US" w:eastAsia="zh-CN"/>
        </w:rPr>
      </w:pPr>
    </w:p>
    <w:p w14:paraId="45C3E5F7">
      <w:pPr>
        <w:pStyle w:val="3"/>
        <w:rPr>
          <w:rFonts w:hint="eastAsia"/>
          <w:color w:val="FF0000"/>
          <w:lang w:val="en-US" w:eastAsia="zh-CN"/>
        </w:rPr>
      </w:pPr>
    </w:p>
    <w:p w14:paraId="5EF467C0">
      <w:pPr>
        <w:pStyle w:val="3"/>
        <w:rPr>
          <w:rFonts w:hint="eastAsia" w:ascii="黑体" w:hAnsi="黑体" w:eastAsia="黑体" w:cs="黑体"/>
          <w:color w:val="FF0000"/>
          <w:sz w:val="28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28"/>
          <w:szCs w:val="36"/>
          <w:lang w:val="en-US" w:eastAsia="zh-CN"/>
        </w:rPr>
        <w:t>参考文献格式（参照GB/T 7714—2025《信息与文献 参考文献著录规则》）</w:t>
      </w:r>
    </w:p>
    <w:p w14:paraId="62E968D1">
      <w:pPr>
        <w:pStyle w:val="3"/>
        <w:rPr>
          <w:rFonts w:hint="eastAsia"/>
          <w:color w:val="FF0000"/>
          <w:lang w:val="en-US" w:eastAsia="zh-CN"/>
        </w:rPr>
      </w:pPr>
    </w:p>
    <w:p w14:paraId="1BEEB2E7">
      <w:pPr>
        <w:pStyle w:val="3"/>
        <w:rPr>
          <w:rFonts w:hint="default"/>
          <w:lang w:val="en-US" w:eastAsia="zh-CN"/>
        </w:rPr>
      </w:pPr>
      <w:r>
        <w:rPr>
          <w:rFonts w:hint="eastAsia"/>
          <w:color w:val="FF0000"/>
          <w:lang w:val="en-US" w:eastAsia="zh-CN"/>
        </w:rPr>
        <w:t>红色:必备；</w:t>
      </w:r>
      <w:r>
        <w:rPr>
          <w:rFonts w:hint="eastAsia"/>
          <w:color w:val="0000FF"/>
          <w:lang w:val="en-US" w:eastAsia="zh-CN"/>
        </w:rPr>
        <w:t>蓝色:电子资源必备</w:t>
      </w:r>
      <w:r>
        <w:rPr>
          <w:rFonts w:hint="eastAsia"/>
          <w:lang w:val="en-US" w:eastAsia="zh-CN"/>
        </w:rPr>
        <w:t>；其他:有则必备；</w:t>
      </w:r>
      <w:r>
        <w:rPr>
          <w:rFonts w:hint="eastAsia"/>
          <w:color w:val="215968" w:themeColor="accent5" w:themeShade="80"/>
          <w:lang w:val="en-US" w:eastAsia="zh-CN"/>
        </w:rPr>
        <w:t>绿色:电子资源可选.</w:t>
      </w:r>
    </w:p>
    <w:p w14:paraId="00075FD4">
      <w:pPr>
        <w:numPr>
          <w:ilvl w:val="0"/>
          <w:numId w:val="0"/>
        </w:numPr>
        <w:jc w:val="both"/>
        <w:rPr>
          <w:rFonts w:hint="eastAsia"/>
          <w:b/>
          <w:bCs/>
          <w:color w:val="auto"/>
          <w:lang w:val="en-US" w:eastAsia="zh-CN"/>
        </w:rPr>
      </w:pPr>
    </w:p>
    <w:p w14:paraId="52B0FE66">
      <w:pPr>
        <w:numPr>
          <w:ilvl w:val="0"/>
          <w:numId w:val="0"/>
        </w:numPr>
        <w:jc w:val="both"/>
        <w:rPr>
          <w:rFonts w:hint="default"/>
          <w:b/>
          <w:bCs/>
          <w:color w:val="auto"/>
          <w:lang w:val="en-US"/>
        </w:rPr>
      </w:pPr>
      <w:r>
        <w:rPr>
          <w:rFonts w:hint="eastAsia"/>
          <w:b/>
          <w:bCs/>
          <w:color w:val="auto"/>
          <w:lang w:val="en-US" w:eastAsia="zh-CN"/>
        </w:rPr>
        <w:t>图书[M]</w:t>
      </w:r>
    </w:p>
    <w:p w14:paraId="078B96E4">
      <w:pPr>
        <w:numPr>
          <w:ilvl w:val="0"/>
          <w:numId w:val="0"/>
        </w:numPr>
        <w:ind w:leftChars="0"/>
        <w:jc w:val="both"/>
        <w:rPr>
          <w:rFonts w:hint="eastAsia"/>
          <w:color w:val="215968" w:themeColor="accent5" w:themeShade="80"/>
          <w:lang w:val="en-US" w:eastAsia="zh-CN"/>
        </w:rPr>
      </w:pPr>
      <w:r>
        <w:rPr>
          <w:rFonts w:hint="eastAsia"/>
          <w:lang w:val="en-US" w:eastAsia="zh-CN"/>
        </w:rPr>
        <w:t>[序号]主要责任者</w:t>
      </w:r>
      <w:r>
        <w:rPr>
          <w:rFonts w:hint="eastAsia"/>
          <w:color w:val="FF0000"/>
        </w:rPr>
        <w:t>.</w:t>
      </w:r>
      <w:r>
        <w:rPr>
          <w:rFonts w:hint="eastAsia"/>
          <w:color w:val="FF0000"/>
          <w:lang w:val="en-US" w:eastAsia="zh-CN"/>
        </w:rPr>
        <w:t>题名:</w:t>
      </w:r>
      <w:r>
        <w:rPr>
          <w:rFonts w:hint="eastAsia"/>
          <w:color w:val="auto"/>
          <w:lang w:val="en-US" w:eastAsia="zh-CN"/>
        </w:rPr>
        <w:t>其他题名信息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其他责任者.版本.</w:t>
      </w:r>
      <w:r>
        <w:rPr>
          <w:rFonts w:hint="eastAsia"/>
        </w:rPr>
        <w:t>出版地</w:t>
      </w:r>
      <w:r>
        <w:rPr>
          <w:rFonts w:hint="eastAsia"/>
          <w:lang w:eastAsia="zh-CN"/>
        </w:rPr>
        <w:t>:</w:t>
      </w:r>
      <w:r>
        <w:rPr>
          <w:rFonts w:hint="eastAsia"/>
        </w:rPr>
        <w:t>出版</w:t>
      </w:r>
      <w:r>
        <w:rPr>
          <w:rFonts w:hint="eastAsia"/>
          <w:lang w:val="en-US" w:eastAsia="zh-CN"/>
        </w:rPr>
        <w:t>者,出版</w:t>
      </w:r>
      <w:r>
        <w:rPr>
          <w:rFonts w:hint="eastAsia"/>
        </w:rPr>
        <w:t>年</w:t>
      </w:r>
      <w:r>
        <w:rPr>
          <w:rFonts w:hint="eastAsia"/>
          <w:lang w:eastAsia="zh-CN"/>
        </w:rPr>
        <w:t>:</w:t>
      </w:r>
      <w:r>
        <w:rPr>
          <w:rFonts w:hint="eastAsia"/>
          <w:lang w:val="en-US" w:eastAsia="zh-CN"/>
        </w:rPr>
        <w:t>引文页码</w:t>
      </w:r>
      <w:r>
        <w:rPr>
          <w:rFonts w:hint="eastAsia"/>
        </w:rPr>
        <w:t>.</w:t>
      </w:r>
      <w:r>
        <w:rPr>
          <w:rFonts w:hint="eastAsia"/>
          <w:color w:val="0000FF"/>
          <w:lang w:val="en-US" w:eastAsia="zh-CN"/>
        </w:rPr>
        <w:t>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2AB15D86">
      <w:pPr>
        <w:numPr>
          <w:ilvl w:val="0"/>
          <w:numId w:val="0"/>
        </w:numPr>
        <w:ind w:leftChars="0"/>
        <w:jc w:val="both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[1]牛永敢</w:t>
      </w:r>
      <w:r>
        <w:rPr>
          <w:rFonts w:hint="eastAsia"/>
          <w:color w:val="auto"/>
          <w:lang w:val="en-US" w:eastAsia="zh-CN"/>
        </w:rPr>
        <w:t>,</w:t>
      </w:r>
      <w:r>
        <w:rPr>
          <w:rFonts w:hint="default"/>
          <w:color w:val="auto"/>
          <w:lang w:val="en-US" w:eastAsia="zh-CN"/>
        </w:rPr>
        <w:t>孔晓</w:t>
      </w:r>
      <w:r>
        <w:rPr>
          <w:rFonts w:hint="eastAsia"/>
          <w:color w:val="auto"/>
          <w:lang w:val="en-US" w:eastAsia="zh-CN"/>
        </w:rPr>
        <w:t>,</w:t>
      </w:r>
      <w:r>
        <w:rPr>
          <w:rFonts w:hint="default"/>
          <w:color w:val="auto"/>
          <w:lang w:val="en-US" w:eastAsia="zh-CN"/>
        </w:rPr>
        <w:t>王阳</w:t>
      </w:r>
      <w:r>
        <w:rPr>
          <w:rFonts w:hint="eastAsia"/>
          <w:color w:val="auto"/>
          <w:lang w:val="en-US" w:eastAsia="zh-CN"/>
        </w:rPr>
        <w:t>,</w:t>
      </w:r>
      <w:r>
        <w:rPr>
          <w:rFonts w:hint="default"/>
          <w:color w:val="auto"/>
          <w:lang w:val="en-US" w:eastAsia="zh-CN"/>
        </w:rPr>
        <w:t>等</w:t>
      </w:r>
      <w:r>
        <w:rPr>
          <w:rFonts w:hint="eastAsia"/>
          <w:color w:val="auto"/>
          <w:lang w:val="en-US" w:eastAsia="zh-CN"/>
        </w:rPr>
        <w:t>.</w:t>
      </w:r>
      <w:r>
        <w:rPr>
          <w:rFonts w:hint="default"/>
          <w:color w:val="auto"/>
          <w:lang w:val="en-US" w:eastAsia="zh-CN"/>
        </w:rPr>
        <w:t>鼻整形应用解剖学[M]</w:t>
      </w:r>
      <w:r>
        <w:rPr>
          <w:rFonts w:hint="eastAsia"/>
          <w:color w:val="auto"/>
          <w:lang w:val="en-US" w:eastAsia="zh-CN"/>
        </w:rPr>
        <w:t>.</w:t>
      </w:r>
      <w:r>
        <w:rPr>
          <w:rFonts w:hint="default"/>
          <w:color w:val="auto"/>
          <w:lang w:val="en-US" w:eastAsia="zh-CN"/>
        </w:rPr>
        <w:t>北京</w:t>
      </w:r>
      <w:r>
        <w:rPr>
          <w:rFonts w:hint="eastAsia"/>
          <w:color w:val="auto"/>
          <w:lang w:val="en-US" w:eastAsia="zh-CN"/>
        </w:rPr>
        <w:t>:</w:t>
      </w:r>
      <w:r>
        <w:rPr>
          <w:rFonts w:hint="default"/>
          <w:color w:val="auto"/>
          <w:lang w:val="en-US" w:eastAsia="zh-CN"/>
        </w:rPr>
        <w:t>人民卫生出版社</w:t>
      </w:r>
      <w:r>
        <w:rPr>
          <w:rFonts w:hint="eastAsia"/>
          <w:color w:val="auto"/>
          <w:lang w:val="en-US" w:eastAsia="zh-CN"/>
        </w:rPr>
        <w:t>,</w:t>
      </w:r>
      <w:r>
        <w:rPr>
          <w:rFonts w:hint="default"/>
          <w:color w:val="auto"/>
          <w:lang w:val="en-US" w:eastAsia="zh-CN"/>
        </w:rPr>
        <w:t>2019</w:t>
      </w:r>
      <w:r>
        <w:rPr>
          <w:rFonts w:hint="eastAsia"/>
          <w:color w:val="auto"/>
          <w:lang w:val="en-US" w:eastAsia="zh-CN"/>
        </w:rPr>
        <w:t>:</w:t>
      </w:r>
      <w:r>
        <w:rPr>
          <w:rFonts w:hint="default"/>
          <w:color w:val="auto"/>
          <w:lang w:val="en-US" w:eastAsia="zh-CN"/>
        </w:rPr>
        <w:t>65-66</w:t>
      </w:r>
      <w:r>
        <w:rPr>
          <w:rFonts w:hint="eastAsia"/>
          <w:color w:val="auto"/>
          <w:lang w:val="en-US" w:eastAsia="zh-CN"/>
        </w:rPr>
        <w:t>.</w:t>
      </w:r>
    </w:p>
    <w:p w14:paraId="278D831D">
      <w:pPr>
        <w:numPr>
          <w:ilvl w:val="0"/>
          <w:numId w:val="0"/>
        </w:numPr>
        <w:ind w:leftChars="0"/>
        <w:jc w:val="both"/>
        <w:rPr>
          <w:rFonts w:hint="eastAsia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[2]Peebles P Z Jr</w:t>
      </w:r>
      <w:r>
        <w:rPr>
          <w:rFonts w:hint="eastAsia"/>
          <w:color w:val="auto"/>
          <w:lang w:val="en-US" w:eastAsia="zh-CN"/>
        </w:rPr>
        <w:t>.</w:t>
      </w:r>
      <w:r>
        <w:rPr>
          <w:rFonts w:hint="default"/>
          <w:color w:val="auto"/>
          <w:lang w:val="en-US" w:eastAsia="zh-CN"/>
        </w:rPr>
        <w:t>Probability,random variables</w:t>
      </w:r>
      <w:r>
        <w:rPr>
          <w:rFonts w:hint="eastAsia"/>
          <w:color w:val="auto"/>
          <w:lang w:val="en-US" w:eastAsia="zh-CN"/>
        </w:rPr>
        <w:t>,</w:t>
      </w:r>
      <w:r>
        <w:rPr>
          <w:rFonts w:hint="default"/>
          <w:color w:val="auto"/>
          <w:lang w:val="en-US" w:eastAsia="zh-CN"/>
        </w:rPr>
        <w:t>and random signal principles[M]</w:t>
      </w:r>
      <w:r>
        <w:rPr>
          <w:rFonts w:hint="eastAsia"/>
          <w:color w:val="auto"/>
          <w:lang w:val="en-US" w:eastAsia="zh-CN"/>
        </w:rPr>
        <w:t>.</w:t>
      </w:r>
      <w:r>
        <w:rPr>
          <w:rFonts w:hint="default"/>
          <w:color w:val="auto"/>
          <w:lang w:val="en-US" w:eastAsia="zh-CN"/>
        </w:rPr>
        <w:t>4thed.New York</w:t>
      </w:r>
      <w:r>
        <w:rPr>
          <w:rFonts w:hint="eastAsia"/>
          <w:color w:val="auto"/>
          <w:lang w:val="en-US" w:eastAsia="zh-CN"/>
        </w:rPr>
        <w:t>:</w:t>
      </w:r>
      <w:r>
        <w:rPr>
          <w:rFonts w:hint="default"/>
          <w:color w:val="auto"/>
          <w:lang w:val="en-US" w:eastAsia="zh-CN"/>
        </w:rPr>
        <w:t>MeGraw-Hill</w:t>
      </w:r>
      <w:r>
        <w:rPr>
          <w:rFonts w:hint="eastAsia"/>
          <w:color w:val="auto"/>
          <w:lang w:val="en-US" w:eastAsia="zh-CN"/>
        </w:rPr>
        <w:t>,</w:t>
      </w:r>
      <w:r>
        <w:rPr>
          <w:rFonts w:hint="default"/>
          <w:color w:val="auto"/>
          <w:lang w:val="en-US" w:eastAsia="zh-CN"/>
        </w:rPr>
        <w:t>2001</w:t>
      </w:r>
      <w:r>
        <w:rPr>
          <w:rFonts w:hint="eastAsia"/>
          <w:color w:val="auto"/>
          <w:lang w:val="en-US" w:eastAsia="zh-CN"/>
        </w:rPr>
        <w:t>.</w:t>
      </w:r>
    </w:p>
    <w:p w14:paraId="60D46740">
      <w:pPr>
        <w:numPr>
          <w:ilvl w:val="0"/>
          <w:numId w:val="0"/>
        </w:numPr>
        <w:ind w:leftChars="0"/>
        <w:jc w:val="both"/>
        <w:rPr>
          <w:rFonts w:hint="default"/>
          <w:color w:val="auto"/>
          <w:lang w:val="en-US" w:eastAsia="zh-CN"/>
        </w:rPr>
      </w:pPr>
    </w:p>
    <w:p w14:paraId="789A29CF">
      <w:pPr>
        <w:numPr>
          <w:ilvl w:val="0"/>
          <w:numId w:val="0"/>
        </w:numPr>
        <w:jc w:val="both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图书中析出文献[M</w:t>
      </w:r>
      <w:r>
        <w:rPr>
          <w:rFonts w:hint="eastAsia"/>
          <w:b/>
          <w:bCs/>
          <w:lang w:eastAsia="zh-CN"/>
        </w:rPr>
        <w:t>]</w:t>
      </w:r>
    </w:p>
    <w:p w14:paraId="4C98FBA1">
      <w:pPr>
        <w:numPr>
          <w:ilvl w:val="0"/>
          <w:numId w:val="0"/>
        </w:numPr>
        <w:ind w:leftChars="0"/>
        <w:jc w:val="both"/>
        <w:rPr>
          <w:rFonts w:hint="eastAsia"/>
          <w:color w:val="215968" w:themeColor="accent5" w:themeShade="80"/>
          <w:lang w:val="en-US" w:eastAsia="zh-CN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lang w:val="en-US" w:eastAsia="zh-CN"/>
        </w:rPr>
        <w:t>析出文献主要责任者</w:t>
      </w:r>
      <w:r>
        <w:rPr>
          <w:rFonts w:hint="eastAsia"/>
          <w:color w:val="FF0000"/>
        </w:rPr>
        <w:t>.</w:t>
      </w:r>
      <w:r>
        <w:rPr>
          <w:rFonts w:hint="eastAsia"/>
          <w:color w:val="FF0000"/>
          <w:lang w:val="en-US" w:eastAsia="zh-CN"/>
        </w:rPr>
        <w:t>析出文献题名:</w:t>
      </w:r>
      <w:r>
        <w:rPr>
          <w:rFonts w:hint="eastAsia"/>
          <w:color w:val="auto"/>
          <w:lang w:val="en-US" w:eastAsia="zh-CN"/>
        </w:rPr>
        <w:t>析出文献其他题名信息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lang w:val="en-US" w:eastAsia="zh-CN"/>
        </w:rPr>
        <w:t>析出文献其他责任者//图书主要责任者.图书题名:其他题名信息.版本.</w:t>
      </w:r>
      <w:r>
        <w:rPr>
          <w:rFonts w:hint="eastAsia"/>
        </w:rPr>
        <w:t>出版地</w:t>
      </w:r>
      <w:r>
        <w:rPr>
          <w:rFonts w:hint="eastAsia"/>
          <w:lang w:eastAsia="zh-CN"/>
        </w:rPr>
        <w:t>:</w:t>
      </w:r>
      <w:r>
        <w:rPr>
          <w:rFonts w:hint="eastAsia"/>
        </w:rPr>
        <w:t>出版</w:t>
      </w:r>
      <w:r>
        <w:rPr>
          <w:rFonts w:hint="eastAsia"/>
          <w:lang w:val="en-US" w:eastAsia="zh-CN"/>
        </w:rPr>
        <w:t>者</w:t>
      </w:r>
      <w:r>
        <w:rPr>
          <w:rFonts w:hint="eastAsia"/>
          <w:lang w:eastAsia="zh-CN"/>
        </w:rPr>
        <w:t>,</w:t>
      </w:r>
      <w:r>
        <w:rPr>
          <w:rFonts w:hint="eastAsia"/>
          <w:lang w:val="en-US" w:eastAsia="zh-CN"/>
        </w:rPr>
        <w:t>出版</w:t>
      </w:r>
      <w:r>
        <w:rPr>
          <w:rFonts w:hint="eastAsia"/>
        </w:rPr>
        <w:t>年</w:t>
      </w:r>
      <w:r>
        <w:rPr>
          <w:rFonts w:hint="eastAsia"/>
          <w:lang w:eastAsia="zh-CN"/>
        </w:rPr>
        <w:t>:</w:t>
      </w:r>
      <w:r>
        <w:rPr>
          <w:rFonts w:hint="eastAsia"/>
          <w:lang w:val="en-US" w:eastAsia="zh-CN"/>
        </w:rPr>
        <w:t>析出文献页码</w:t>
      </w:r>
      <w:r>
        <w:rPr>
          <w:rFonts w:hint="eastAsia"/>
        </w:rPr>
        <w:t>.</w:t>
      </w:r>
      <w:r>
        <w:rPr>
          <w:rFonts w:hint="eastAsia"/>
          <w:color w:val="0000FF"/>
          <w:lang w:val="en-US" w:eastAsia="zh-CN"/>
        </w:rPr>
        <w:t>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77C3FF5E">
      <w:pPr>
        <w:numPr>
          <w:ilvl w:val="0"/>
          <w:numId w:val="0"/>
        </w:numPr>
        <w:ind w:leftChars="0"/>
        <w:jc w:val="both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[1]楼梦麟,杨燕.汶川地震基岩地震动特征分析[M/OL]//同济大学土木工程防灾国家重点实验室.汶川地震震害研究.上海:同济大学出版社,2011:11-12.http://apabi.lib.pku.edu.cn/usp/pku/pub.mve? pid=book.detail&amp;.metaid=m.20120406-YPT-889-0010.</w:t>
      </w:r>
    </w:p>
    <w:p w14:paraId="7B7E3788">
      <w:pPr>
        <w:numPr>
          <w:ilvl w:val="0"/>
          <w:numId w:val="0"/>
        </w:numPr>
        <w:ind w:leftChars="0"/>
        <w:jc w:val="both"/>
        <w:rPr>
          <w:rFonts w:hint="eastAsia"/>
          <w:color w:val="auto"/>
          <w:lang w:val="en-US" w:eastAsia="zh-CN"/>
        </w:rPr>
      </w:pPr>
    </w:p>
    <w:p w14:paraId="1C45AC33">
      <w:pPr>
        <w:numPr>
          <w:ilvl w:val="0"/>
          <w:numId w:val="0"/>
        </w:numPr>
        <w:jc w:val="both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连续出版物中析出文献[</w:t>
      </w:r>
      <w:r>
        <w:rPr>
          <w:rFonts w:hint="eastAsia"/>
          <w:b/>
          <w:bCs/>
        </w:rPr>
        <w:t>J</w:t>
      </w:r>
      <w:r>
        <w:rPr>
          <w:rFonts w:hint="eastAsia"/>
          <w:b/>
          <w:bCs/>
          <w:lang w:eastAsia="zh-CN"/>
        </w:rPr>
        <w:t>]</w:t>
      </w:r>
    </w:p>
    <w:p w14:paraId="376B09C9">
      <w:pPr>
        <w:numPr>
          <w:ilvl w:val="0"/>
          <w:numId w:val="0"/>
        </w:numPr>
        <w:jc w:val="both"/>
        <w:rPr>
          <w:rFonts w:hint="eastAsia"/>
          <w:color w:val="215968" w:themeColor="accent5" w:themeShade="80"/>
          <w:lang w:val="en-US" w:eastAsia="zh-CN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lang w:val="en-US" w:eastAsia="zh-CN"/>
        </w:rPr>
        <w:t>析出文献主要责任者</w:t>
      </w:r>
      <w:r>
        <w:rPr>
          <w:rFonts w:hint="eastAsia"/>
        </w:rPr>
        <w:t>.</w:t>
      </w:r>
      <w:r>
        <w:rPr>
          <w:rFonts w:hint="eastAsia"/>
          <w:color w:val="FF0000"/>
          <w:lang w:val="en-US" w:eastAsia="zh-CN"/>
        </w:rPr>
        <w:t>析出文献题名:</w:t>
      </w:r>
      <w:r>
        <w:rPr>
          <w:rFonts w:hint="eastAsia"/>
          <w:color w:val="auto"/>
          <w:lang w:val="en-US" w:eastAsia="zh-CN"/>
        </w:rPr>
        <w:t>析出文献其他题名信息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</w:rPr>
        <w:t>.</w:t>
      </w:r>
      <w:r>
        <w:rPr>
          <w:rFonts w:hint="eastAsia"/>
          <w:color w:val="auto"/>
          <w:lang w:val="en-US" w:eastAsia="zh-CN"/>
        </w:rPr>
        <w:t>析出文献其他责任者.连续出版物题</w:t>
      </w:r>
      <w:r>
        <w:rPr>
          <w:rFonts w:hint="eastAsia"/>
          <w:color w:val="auto"/>
        </w:rPr>
        <w:t>名</w:t>
      </w:r>
      <w:r>
        <w:rPr>
          <w:rFonts w:hint="eastAsia"/>
          <w:color w:val="auto"/>
          <w:lang w:eastAsia="zh-CN"/>
        </w:rPr>
        <w:t>:</w:t>
      </w:r>
      <w:r>
        <w:rPr>
          <w:rFonts w:hint="eastAsia"/>
          <w:color w:val="auto"/>
          <w:lang w:val="en-US" w:eastAsia="zh-CN"/>
        </w:rPr>
        <w:t>其他题名信息,</w:t>
      </w:r>
      <w:r>
        <w:rPr>
          <w:rFonts w:hint="eastAsia"/>
        </w:rPr>
        <w:t>年</w:t>
      </w:r>
      <w:r>
        <w:rPr>
          <w:rFonts w:hint="eastAsia"/>
          <w:lang w:eastAsia="zh-CN"/>
        </w:rPr>
        <w:t>,</w:t>
      </w:r>
      <w:r>
        <w:rPr>
          <w:rFonts w:hint="eastAsia"/>
        </w:rPr>
        <w:t>卷</w:t>
      </w:r>
      <w:r>
        <w:rPr>
          <w:rFonts w:hint="eastAsia"/>
          <w:lang w:eastAsia="zh-CN"/>
        </w:rPr>
        <w:t>（</w:t>
      </w:r>
      <w:r>
        <w:rPr>
          <w:rFonts w:hint="eastAsia"/>
        </w:rPr>
        <w:t>期</w:t>
      </w:r>
      <w:r>
        <w:rPr>
          <w:rFonts w:hint="eastAsia"/>
          <w:lang w:val="en-US" w:eastAsia="zh-CN"/>
        </w:rPr>
        <w:t>/版次</w:t>
      </w:r>
      <w:r>
        <w:rPr>
          <w:rFonts w:hint="eastAsia"/>
          <w:lang w:eastAsia="zh-CN"/>
        </w:rPr>
        <w:t>）:</w:t>
      </w:r>
      <w:r>
        <w:rPr>
          <w:rFonts w:hint="eastAsia"/>
          <w:lang w:val="en-US" w:eastAsia="zh-CN"/>
        </w:rPr>
        <w:t>起讫页码/引文页码</w:t>
      </w:r>
      <w:r>
        <w:rPr>
          <w:rFonts w:hint="eastAsia"/>
        </w:rPr>
        <w:t>.</w:t>
      </w:r>
      <w:r>
        <w:rPr>
          <w:rFonts w:hint="eastAsia"/>
          <w:color w:val="0000FF"/>
          <w:lang w:val="en-US" w:eastAsia="zh-CN"/>
        </w:rPr>
        <w:t>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50F7CA98">
      <w:pPr>
        <w:numPr>
          <w:ilvl w:val="0"/>
          <w:numId w:val="0"/>
        </w:numPr>
        <w:jc w:val="both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[1]Emami C N,Mittal R,WANG L,et al.Role of neutrophils and macrophages in the pathogenesis of necrotizing enterocolitis caused by </w:t>
      </w:r>
      <w:r>
        <w:rPr>
          <w:rFonts w:hint="eastAsia"/>
          <w:i/>
          <w:iCs/>
          <w:color w:val="auto"/>
          <w:lang w:val="en-US" w:eastAsia="zh-CN"/>
        </w:rPr>
        <w:t>Cronobacter Sakazakii</w:t>
      </w:r>
      <w:r>
        <w:rPr>
          <w:rFonts w:hint="eastAsia"/>
          <w:color w:val="auto"/>
          <w:lang w:val="en-US" w:eastAsia="zh-CN"/>
        </w:rPr>
        <w:t>[J].Journal of Surgical Research,2012,172(1):18-28.</w:t>
      </w:r>
    </w:p>
    <w:p w14:paraId="77F912D7">
      <w:pPr>
        <w:numPr>
          <w:ilvl w:val="0"/>
          <w:numId w:val="0"/>
        </w:numPr>
        <w:jc w:val="both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[2]Xu Cong,Ma Jiage,Wan Wang,et al.Preparation of pectin-based nanofibers encapsulating Lactobacillus rhamnosus 1.0320 by electrospinning[J].Food Hydrocolloids,2022,124:107216.</w:t>
      </w:r>
    </w:p>
    <w:p w14:paraId="37467CAA">
      <w:pPr>
        <w:numPr>
          <w:ilvl w:val="0"/>
          <w:numId w:val="0"/>
        </w:numPr>
        <w:jc w:val="both"/>
        <w:rPr>
          <w:rFonts w:hint="eastAsia"/>
          <w:color w:val="auto"/>
          <w:lang w:val="en-US" w:eastAsia="zh-CN"/>
        </w:rPr>
      </w:pPr>
    </w:p>
    <w:p w14:paraId="7A9CC1E5"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会议录[C</w:t>
      </w:r>
      <w:r>
        <w:rPr>
          <w:rFonts w:hint="eastAsia"/>
          <w:b/>
          <w:bCs/>
          <w:lang w:eastAsia="zh-CN"/>
        </w:rPr>
        <w:t>]</w:t>
      </w:r>
    </w:p>
    <w:p w14:paraId="449384C2">
      <w:pPr>
        <w:numPr>
          <w:ilvl w:val="0"/>
          <w:numId w:val="0"/>
        </w:numPr>
        <w:jc w:val="both"/>
        <w:rPr>
          <w:rFonts w:hint="eastAsia"/>
          <w:color w:val="215968" w:themeColor="accent5" w:themeShade="80"/>
          <w:lang w:val="en-US" w:eastAsia="zh-CN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lang w:val="en-US" w:eastAsia="zh-CN"/>
        </w:rPr>
        <w:t>主要责任者</w:t>
      </w:r>
      <w:r>
        <w:rPr>
          <w:rFonts w:hint="eastAsia"/>
        </w:rPr>
        <w:t>.</w:t>
      </w:r>
      <w:r>
        <w:rPr>
          <w:rFonts w:hint="eastAsia"/>
          <w:color w:val="FF0000"/>
          <w:lang w:val="en-US" w:eastAsia="zh-CN"/>
        </w:rPr>
        <w:t>题名:</w:t>
      </w:r>
      <w:r>
        <w:rPr>
          <w:rFonts w:hint="eastAsia"/>
          <w:color w:val="auto"/>
          <w:lang w:val="en-US" w:eastAsia="zh-CN"/>
        </w:rPr>
        <w:t>其他题名信息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lang w:val="en-US" w:eastAsia="zh-CN"/>
        </w:rPr>
        <w:t>//会议名称</w:t>
      </w:r>
      <w:r>
        <w:rPr>
          <w:rFonts w:hint="eastAsia"/>
          <w:color w:val="auto"/>
          <w:lang w:eastAsia="zh-CN"/>
        </w:rPr>
        <w:t>,</w:t>
      </w:r>
      <w:r>
        <w:rPr>
          <w:rFonts w:hint="eastAsia"/>
          <w:color w:val="auto"/>
          <w:lang w:val="en-US" w:eastAsia="zh-CN"/>
        </w:rPr>
        <w:t>会议年份:</w:t>
      </w:r>
      <w:r>
        <w:rPr>
          <w:rFonts w:hint="eastAsia"/>
          <w:lang w:val="en-US" w:eastAsia="zh-CN"/>
        </w:rPr>
        <w:t>引文页码</w:t>
      </w:r>
      <w:r>
        <w:rPr>
          <w:rFonts w:hint="eastAsia"/>
        </w:rPr>
        <w:t>.</w:t>
      </w:r>
      <w:r>
        <w:rPr>
          <w:rFonts w:hint="eastAsia"/>
          <w:color w:val="0000FF"/>
          <w:lang w:val="en-US" w:eastAsia="zh-CN"/>
        </w:rPr>
        <w:t>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083FF2BA">
      <w:pPr>
        <w:numPr>
          <w:ilvl w:val="0"/>
          <w:numId w:val="0"/>
        </w:numPr>
        <w:jc w:val="both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[1]</w:t>
      </w:r>
      <w:r>
        <w:rPr>
          <w:rFonts w:hint="default"/>
          <w:color w:val="auto"/>
          <w:lang w:val="en-US" w:eastAsia="zh-CN"/>
        </w:rPr>
        <w:t xml:space="preserve">Wang Shanshan.Application of improved SOM neural network in intelligent auditing of hospital financial-vouchers[C/OL]//2022 6th Asian Conference on Artificial Intelligence Technology,2022:2. </w:t>
      </w:r>
      <w:r>
        <w:rPr>
          <w:rFonts w:hint="default"/>
          <w:color w:val="auto"/>
          <w:lang w:val="en-US" w:eastAsia="zh-CN"/>
        </w:rPr>
        <w:fldChar w:fldCharType="begin"/>
      </w:r>
      <w:r>
        <w:rPr>
          <w:rFonts w:hint="default"/>
          <w:color w:val="auto"/>
          <w:lang w:val="en-US" w:eastAsia="zh-CN"/>
        </w:rPr>
        <w:instrText xml:space="preserve"> HYPERLINK "https://ieeex-plore.ieee.org/document/10137876." </w:instrText>
      </w:r>
      <w:r>
        <w:rPr>
          <w:rFonts w:hint="default"/>
          <w:color w:val="auto"/>
          <w:lang w:val="en-US" w:eastAsia="zh-CN"/>
        </w:rPr>
        <w:fldChar w:fldCharType="separate"/>
      </w:r>
      <w:r>
        <w:rPr>
          <w:rStyle w:val="13"/>
          <w:rFonts w:hint="default"/>
          <w:lang w:val="en-US" w:eastAsia="zh-CN"/>
        </w:rPr>
        <w:t>https://ieeex-plore.ieee.org/document/10137876.</w:t>
      </w:r>
      <w:r>
        <w:rPr>
          <w:rFonts w:hint="default"/>
          <w:color w:val="auto"/>
          <w:lang w:val="en-US" w:eastAsia="zh-CN"/>
        </w:rPr>
        <w:fldChar w:fldCharType="end"/>
      </w:r>
    </w:p>
    <w:p w14:paraId="09F63AF8">
      <w:pPr>
        <w:numPr>
          <w:ilvl w:val="0"/>
          <w:numId w:val="0"/>
        </w:numPr>
        <w:jc w:val="both"/>
        <w:rPr>
          <w:rFonts w:hint="default"/>
          <w:color w:val="auto"/>
          <w:lang w:val="en-US" w:eastAsia="zh-CN"/>
        </w:rPr>
      </w:pPr>
    </w:p>
    <w:p w14:paraId="0CA71E44"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学位论文[D</w:t>
      </w:r>
      <w:r>
        <w:rPr>
          <w:rFonts w:hint="eastAsia"/>
          <w:b/>
          <w:bCs/>
          <w:lang w:eastAsia="zh-CN"/>
        </w:rPr>
        <w:t>]</w:t>
      </w:r>
    </w:p>
    <w:p w14:paraId="0FD29309">
      <w:pPr>
        <w:numPr>
          <w:ilvl w:val="0"/>
          <w:numId w:val="0"/>
        </w:numPr>
        <w:ind w:leftChars="0"/>
        <w:jc w:val="both"/>
        <w:rPr>
          <w:rFonts w:hint="eastAsia"/>
          <w:color w:val="215968" w:themeColor="accent5" w:themeShade="80"/>
          <w:lang w:val="en-US" w:eastAsia="zh-CN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lang w:val="en-US" w:eastAsia="zh-CN"/>
        </w:rPr>
        <w:t>主要责任者</w:t>
      </w:r>
      <w:r>
        <w:rPr>
          <w:rFonts w:hint="eastAsia"/>
        </w:rPr>
        <w:t>.</w:t>
      </w:r>
      <w:r>
        <w:rPr>
          <w:rFonts w:hint="eastAsia"/>
          <w:color w:val="FF0000"/>
          <w:lang w:val="en-US" w:eastAsia="zh-CN"/>
        </w:rPr>
        <w:t>题名:</w:t>
      </w:r>
      <w:r>
        <w:rPr>
          <w:rFonts w:hint="eastAsia"/>
          <w:color w:val="auto"/>
          <w:lang w:val="en-US" w:eastAsia="zh-CN"/>
        </w:rPr>
        <w:t>其他题名信息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</w:rPr>
        <w:t>.</w:t>
      </w:r>
      <w:r>
        <w:rPr>
          <w:rFonts w:hint="eastAsia"/>
          <w:color w:val="auto"/>
          <w:lang w:val="en-US" w:eastAsia="zh-CN"/>
        </w:rPr>
        <w:t>学位授予单位所在地:学位授予单位,学位授予年:引文页码.</w:t>
      </w:r>
      <w:r>
        <w:rPr>
          <w:rFonts w:hint="eastAsia"/>
          <w:color w:val="0000FF"/>
          <w:lang w:val="en-US" w:eastAsia="zh-CN"/>
        </w:rPr>
        <w:t>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45F6BBDB">
      <w:pPr>
        <w:numPr>
          <w:ilvl w:val="0"/>
          <w:numId w:val="0"/>
        </w:numPr>
        <w:jc w:val="both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[1]代克克.乳化剂对黄油基淡奶油品质的影响[D].广州:华南理工大学,2020: 2-5.</w:t>
      </w:r>
    </w:p>
    <w:p w14:paraId="7EB49EFB">
      <w:pPr>
        <w:numPr>
          <w:ilvl w:val="0"/>
          <w:numId w:val="0"/>
        </w:numPr>
        <w:jc w:val="both"/>
        <w:rPr>
          <w:rFonts w:hint="eastAsia"/>
          <w:color w:val="auto"/>
          <w:lang w:val="en-US" w:eastAsia="zh-CN"/>
        </w:rPr>
      </w:pPr>
    </w:p>
    <w:p w14:paraId="7DC638DF"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报告[R</w:t>
      </w:r>
      <w:r>
        <w:rPr>
          <w:rFonts w:hint="eastAsia"/>
          <w:b/>
          <w:bCs/>
          <w:lang w:eastAsia="zh-CN"/>
        </w:rPr>
        <w:t>]</w:t>
      </w:r>
    </w:p>
    <w:p w14:paraId="09C53B6A">
      <w:pPr>
        <w:numPr>
          <w:ilvl w:val="0"/>
          <w:numId w:val="0"/>
        </w:numPr>
        <w:ind w:leftChars="0"/>
        <w:jc w:val="both"/>
        <w:rPr>
          <w:rFonts w:hint="eastAsia"/>
          <w:color w:val="215968" w:themeColor="accent5" w:themeShade="80"/>
          <w:lang w:val="en-US" w:eastAsia="zh-CN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lang w:val="en-US" w:eastAsia="zh-CN"/>
        </w:rPr>
        <w:t>主要责任者</w:t>
      </w:r>
      <w:r>
        <w:rPr>
          <w:rFonts w:hint="eastAsia"/>
        </w:rPr>
        <w:t>.</w:t>
      </w:r>
      <w:r>
        <w:rPr>
          <w:rFonts w:hint="eastAsia"/>
          <w:color w:val="FF0000"/>
          <w:lang w:val="en-US" w:eastAsia="zh-CN"/>
        </w:rPr>
        <w:t>题名:</w:t>
      </w:r>
      <w:r>
        <w:rPr>
          <w:rFonts w:hint="eastAsia"/>
          <w:color w:val="auto"/>
          <w:lang w:val="en-US" w:eastAsia="zh-CN"/>
        </w:rPr>
        <w:t>其他题名信息:报告编号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</w:rPr>
        <w:t>.</w:t>
      </w:r>
      <w:r>
        <w:rPr>
          <w:rFonts w:hint="eastAsia"/>
          <w:color w:val="auto"/>
          <w:lang w:val="en-US" w:eastAsia="zh-CN"/>
        </w:rPr>
        <w:t>发布日期:引文页码.</w:t>
      </w:r>
      <w:r>
        <w:rPr>
          <w:rFonts w:hint="eastAsia"/>
          <w:color w:val="0000FF"/>
          <w:lang w:val="en-US" w:eastAsia="zh-CN"/>
        </w:rPr>
        <w:t>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03830770">
      <w:pPr>
        <w:numPr>
          <w:ilvl w:val="0"/>
          <w:numId w:val="0"/>
        </w:numPr>
        <w:ind w:leftChars="0"/>
        <w:jc w:val="both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中国信息通信研究院, 中国电信股份有限公司研究院, 中国移动通信研究院, 等. 电信业发展白皮书: 2023: 新时代高质量发展探索[R/OL]. 2023-12-28. </w:t>
      </w:r>
      <w:r>
        <w:rPr>
          <w:rFonts w:hint="eastAsia"/>
          <w:color w:val="auto"/>
          <w:highlight w:val="none"/>
          <w:lang w:val="en-US" w:eastAsia="zh-CN"/>
        </w:rPr>
        <w:fldChar w:fldCharType="begin"/>
      </w:r>
      <w:r>
        <w:rPr>
          <w:rFonts w:hint="eastAsia"/>
          <w:color w:val="auto"/>
          <w:highlight w:val="none"/>
          <w:lang w:val="en-US" w:eastAsia="zh-CN"/>
        </w:rPr>
        <w:instrText xml:space="preserve"> HYPERLINK "http://www.caict.ac.cn/kxyj/qwfb/bps/202312/P02024325615399026294.pdf." </w:instrText>
      </w:r>
      <w:r>
        <w:rPr>
          <w:rFonts w:hint="eastAsia"/>
          <w:color w:val="auto"/>
          <w:highlight w:val="none"/>
          <w:lang w:val="en-US" w:eastAsia="zh-CN"/>
        </w:rPr>
        <w:fldChar w:fldCharType="separate"/>
      </w:r>
      <w:r>
        <w:rPr>
          <w:rStyle w:val="13"/>
          <w:rFonts w:hint="eastAsia"/>
          <w:highlight w:val="none"/>
          <w:lang w:val="en-US" w:eastAsia="zh-CN"/>
        </w:rPr>
        <w:t>http://www.caict.ac.cn/kxyj/qwfb/bps/202312/P020</w:t>
      </w:r>
      <w:bookmarkStart w:id="2" w:name="_GoBack"/>
      <w:bookmarkEnd w:id="2"/>
      <w:r>
        <w:rPr>
          <w:rStyle w:val="13"/>
          <w:rFonts w:hint="eastAsia"/>
          <w:highlight w:val="none"/>
          <w:lang w:val="en-US" w:eastAsia="zh-CN"/>
        </w:rPr>
        <w:t>24325615399026294.pdf.</w:t>
      </w:r>
      <w:r>
        <w:rPr>
          <w:rFonts w:hint="eastAsia"/>
          <w:color w:val="auto"/>
          <w:highlight w:val="none"/>
          <w:lang w:val="en-US" w:eastAsia="zh-CN"/>
        </w:rPr>
        <w:fldChar w:fldCharType="end"/>
      </w:r>
    </w:p>
    <w:p w14:paraId="62E6C915">
      <w:pPr>
        <w:numPr>
          <w:ilvl w:val="0"/>
          <w:numId w:val="0"/>
        </w:numPr>
        <w:ind w:leftChars="0"/>
        <w:jc w:val="both"/>
        <w:rPr>
          <w:rFonts w:hint="eastAsia"/>
          <w:color w:val="auto"/>
          <w:highlight w:val="yellow"/>
          <w:lang w:val="en-US" w:eastAsia="zh-CN"/>
        </w:rPr>
      </w:pPr>
    </w:p>
    <w:p w14:paraId="51F0CA8A"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标准[S</w:t>
      </w:r>
      <w:r>
        <w:rPr>
          <w:rFonts w:hint="eastAsia"/>
          <w:b/>
          <w:bCs/>
          <w:lang w:eastAsia="zh-CN"/>
        </w:rPr>
        <w:t>]</w:t>
      </w:r>
    </w:p>
    <w:p w14:paraId="43AB001A">
      <w:pPr>
        <w:numPr>
          <w:ilvl w:val="0"/>
          <w:numId w:val="0"/>
        </w:numPr>
        <w:ind w:leftChars="0"/>
        <w:jc w:val="both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color w:val="FF0000"/>
          <w:lang w:val="en-US" w:eastAsia="zh-CN"/>
        </w:rPr>
        <w:t>标准编号 标准名称[文献类型标识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</w:rPr>
        <w:t>.</w:t>
      </w:r>
      <w:r>
        <w:rPr>
          <w:rFonts w:hint="eastAsia"/>
          <w:color w:val="0000FF"/>
          <w:lang w:val="en-US" w:eastAsia="zh-CN"/>
        </w:rPr>
        <w:t>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438116BF"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color w:val="auto"/>
          <w:lang w:val="en-US" w:eastAsia="zh-CN"/>
        </w:rPr>
        <w:t>[1]</w:t>
      </w:r>
      <w:r>
        <w:rPr>
          <w:rFonts w:hint="eastAsia"/>
          <w:lang w:val="en-US" w:eastAsia="zh-CN"/>
        </w:rPr>
        <w:t>GB/T 20090.16—2016 信息技术 先进音视频编码 第16部分: 广播电视视频[S/OL]. http://c.gb688.cn/bzgk/gb/show Gb?type=online&amp;hcno=iD4AC2D4256C8DE7EOAA286CA7649300.</w:t>
      </w:r>
    </w:p>
    <w:p w14:paraId="52601338"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 w14:paraId="7CA5F38D"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专利[P</w:t>
      </w:r>
      <w:r>
        <w:rPr>
          <w:rFonts w:hint="eastAsia"/>
          <w:b/>
          <w:bCs/>
          <w:lang w:eastAsia="zh-CN"/>
        </w:rPr>
        <w:t>]</w:t>
      </w:r>
    </w:p>
    <w:p w14:paraId="73004EA1">
      <w:pPr>
        <w:numPr>
          <w:ilvl w:val="0"/>
          <w:numId w:val="0"/>
        </w:numPr>
        <w:ind w:leftChars="0"/>
        <w:jc w:val="both"/>
        <w:rPr>
          <w:rFonts w:hint="eastAsia"/>
          <w:color w:val="215968" w:themeColor="accent5" w:themeShade="80"/>
          <w:lang w:val="en-US" w:eastAsia="zh-CN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color w:val="FF0000"/>
          <w:lang w:val="en-US" w:eastAsia="zh-CN"/>
        </w:rPr>
        <w:t>专利申请者/所有者</w:t>
      </w:r>
      <w:r>
        <w:rPr>
          <w:rFonts w:hint="eastAsia"/>
          <w:color w:val="FF0000"/>
        </w:rPr>
        <w:t>.</w:t>
      </w:r>
      <w:r>
        <w:rPr>
          <w:rFonts w:hint="eastAsia"/>
          <w:color w:val="FF0000"/>
          <w:lang w:val="en-US" w:eastAsia="zh-CN"/>
        </w:rPr>
        <w:t>题名:</w:t>
      </w:r>
      <w:r>
        <w:rPr>
          <w:rFonts w:hint="eastAsia"/>
          <w:color w:val="auto"/>
          <w:lang w:val="en-US" w:eastAsia="zh-CN"/>
        </w:rPr>
        <w:t>其他题名信息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</w:rPr>
        <w:t>.</w:t>
      </w:r>
      <w:r>
        <w:rPr>
          <w:rFonts w:hint="eastAsia"/>
          <w:color w:val="auto"/>
          <w:lang w:val="en-US" w:eastAsia="zh-CN"/>
        </w:rPr>
        <w:t>公共（公开日期）:引文页码.</w:t>
      </w:r>
      <w:r>
        <w:rPr>
          <w:rFonts w:hint="eastAsia"/>
          <w:color w:val="0000FF"/>
          <w:lang w:val="en-US" w:eastAsia="zh-CN"/>
        </w:rPr>
        <w:t>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5144F42D">
      <w:pPr>
        <w:numPr>
          <w:ilvl w:val="0"/>
          <w:numId w:val="0"/>
        </w:numPr>
        <w:ind w:leftChars="0"/>
        <w:jc w:val="both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[1]邓一刚. 全智能节电器: 200610171314.3[P]. 2008-01-16: 8-9.</w:t>
      </w:r>
    </w:p>
    <w:p w14:paraId="6A6DBFF4">
      <w:pPr>
        <w:numPr>
          <w:ilvl w:val="0"/>
          <w:numId w:val="0"/>
        </w:numPr>
        <w:ind w:leftChars="0"/>
        <w:jc w:val="both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[2]西安电子科技大学. 光折变自适应光外差探测方法: 01128777.2[P/OL]. 2002-03-06. http://211.152.9.47/sipoasp/zljs/hyjs-yx-new.asp?recid=01128777.2&amp;leixin=0.</w:t>
      </w:r>
    </w:p>
    <w:p w14:paraId="2F59870C">
      <w:pPr>
        <w:numPr>
          <w:ilvl w:val="0"/>
          <w:numId w:val="0"/>
        </w:numPr>
        <w:ind w:leftChars="0"/>
        <w:jc w:val="both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Tachibana R, Shimizu S, Kobayshi S, et al. Electronic watermarking method and system: US6915001[P/OL]. 2005-07-05. http://www.google.co.in/patents/US6915001.</w:t>
      </w:r>
    </w:p>
    <w:p w14:paraId="0E0BB4DD"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 w14:paraId="6B2D7E1A"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网页[EB</w:t>
      </w:r>
      <w:r>
        <w:rPr>
          <w:rFonts w:hint="eastAsia"/>
          <w:b/>
          <w:bCs/>
          <w:lang w:eastAsia="zh-CN"/>
        </w:rPr>
        <w:t>]</w:t>
      </w:r>
    </w:p>
    <w:p w14:paraId="2B041247">
      <w:pPr>
        <w:numPr>
          <w:ilvl w:val="0"/>
          <w:numId w:val="0"/>
        </w:numPr>
        <w:ind w:leftChars="0"/>
        <w:jc w:val="both"/>
        <w:rPr>
          <w:rFonts w:hint="eastAsia"/>
          <w:color w:val="215968" w:themeColor="accent5" w:themeShade="80"/>
          <w:lang w:val="en-US" w:eastAsia="zh-CN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  <w:lang w:val="en-US" w:eastAsia="zh-CN"/>
        </w:rPr>
        <w:t>主要责任者</w:t>
      </w:r>
      <w:r>
        <w:rPr>
          <w:rFonts w:hint="eastAsia"/>
          <w:color w:val="auto"/>
        </w:rPr>
        <w:t>.</w:t>
      </w:r>
      <w:r>
        <w:rPr>
          <w:rFonts w:hint="eastAsia"/>
          <w:color w:val="FF0000"/>
          <w:lang w:val="en-US" w:eastAsia="zh-CN"/>
        </w:rPr>
        <w:t>题名:</w:t>
      </w:r>
      <w:r>
        <w:rPr>
          <w:rFonts w:hint="eastAsia"/>
          <w:color w:val="auto"/>
          <w:lang w:val="en-US" w:eastAsia="zh-CN"/>
        </w:rPr>
        <w:t>其他题名信息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</w:rPr>
        <w:t>.</w:t>
      </w:r>
      <w:r>
        <w:rPr>
          <w:rFonts w:hint="eastAsia"/>
          <w:color w:val="auto"/>
          <w:lang w:val="en-US" w:eastAsia="zh-CN"/>
        </w:rPr>
        <w:t>（创建或修改日期）</w:t>
      </w:r>
      <w:r>
        <w:rPr>
          <w:rFonts w:hint="eastAsia"/>
          <w:color w:val="FF0000"/>
          <w:lang w:val="en-US" w:eastAsia="zh-CN"/>
        </w:rPr>
        <w:t>[引用日期</w:t>
      </w:r>
      <w:r>
        <w:rPr>
          <w:rFonts w:hint="eastAsia"/>
          <w:color w:val="FF0000"/>
          <w:lang w:eastAsia="zh-CN"/>
        </w:rPr>
        <w:t>]</w:t>
      </w:r>
      <w:r>
        <w:rPr>
          <w:rFonts w:hint="eastAsia"/>
          <w:color w:val="FF0000"/>
          <w:lang w:val="en-US" w:eastAsia="zh-CN"/>
        </w:rPr>
        <w:t>.获取和访问路径.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7C1FEC0D">
      <w:pPr>
        <w:numPr>
          <w:ilvl w:val="0"/>
          <w:numId w:val="0"/>
        </w:numPr>
        <w:ind w:leftChars="0"/>
        <w:jc w:val="both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[1]中国科学院文献情报中心.中国科学院科技论文预发布平台[EB/OL].[2025-03-06].https://chinaxiv.org/home.htm.</w:t>
      </w:r>
    </w:p>
    <w:p w14:paraId="221735DD"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 w14:paraId="6F951AFC"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预印本[PP</w:t>
      </w:r>
      <w:r>
        <w:rPr>
          <w:rFonts w:hint="eastAsia"/>
          <w:b/>
          <w:bCs/>
          <w:lang w:eastAsia="zh-CN"/>
        </w:rPr>
        <w:t>]</w:t>
      </w:r>
    </w:p>
    <w:p w14:paraId="40F9D9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 w:cs="仿宋"/>
          <w:color w:val="FF0000"/>
          <w:sz w:val="24"/>
          <w:szCs w:val="24"/>
        </w:rPr>
      </w:pPr>
      <w:r>
        <w:rPr>
          <w:rFonts w:hint="eastAsia"/>
          <w:lang w:val="en-US" w:eastAsia="zh-CN"/>
        </w:rPr>
        <w:t>[序号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  <w:lang w:val="en-US" w:eastAsia="zh-CN"/>
        </w:rPr>
        <w:t>主要责任者</w:t>
      </w:r>
      <w:r>
        <w:rPr>
          <w:rFonts w:hint="eastAsia"/>
          <w:color w:val="auto"/>
        </w:rPr>
        <w:t>.</w:t>
      </w:r>
      <w:r>
        <w:rPr>
          <w:rFonts w:hint="eastAsia"/>
          <w:color w:val="FF0000"/>
          <w:lang w:val="en-US" w:eastAsia="zh-CN"/>
        </w:rPr>
        <w:t>题名:</w:t>
      </w:r>
      <w:r>
        <w:rPr>
          <w:rFonts w:hint="eastAsia"/>
          <w:color w:val="auto"/>
          <w:lang w:val="en-US" w:eastAsia="zh-CN"/>
        </w:rPr>
        <w:t>其他题名信息</w:t>
      </w:r>
      <w:r>
        <w:rPr>
          <w:rFonts w:hint="eastAsia"/>
          <w:color w:val="FF0000"/>
          <w:lang w:val="en-US" w:eastAsia="zh-CN"/>
        </w:rPr>
        <w:t>[文献类型标识</w:t>
      </w:r>
      <w:r>
        <w:rPr>
          <w:rFonts w:hint="eastAsia"/>
          <w:lang w:val="en-US" w:eastAsia="zh-CN"/>
        </w:rPr>
        <w:t>/</w:t>
      </w:r>
      <w:r>
        <w:rPr>
          <w:rFonts w:hint="eastAsia"/>
          <w:color w:val="0000FF"/>
          <w:lang w:val="en-US" w:eastAsia="zh-CN"/>
        </w:rPr>
        <w:t>文献载体标识</w:t>
      </w:r>
      <w:r>
        <w:rPr>
          <w:rFonts w:hint="eastAsia"/>
          <w:lang w:eastAsia="zh-CN"/>
        </w:rPr>
        <w:t>]</w:t>
      </w:r>
      <w:r>
        <w:rPr>
          <w:rFonts w:hint="eastAsia"/>
          <w:color w:val="auto"/>
        </w:rPr>
        <w:t>.</w:t>
      </w:r>
      <w:r>
        <w:rPr>
          <w:rFonts w:hint="eastAsia"/>
          <w:color w:val="auto"/>
          <w:lang w:val="en-US" w:eastAsia="zh-CN"/>
        </w:rPr>
        <w:t>版本.出版平台（发布或修改日期）</w:t>
      </w:r>
      <w:r>
        <w:rPr>
          <w:rFonts w:hint="eastAsia"/>
          <w:color w:val="FF0000"/>
          <w:lang w:val="en-US" w:eastAsia="zh-CN"/>
        </w:rPr>
        <w:t>[引用日期</w:t>
      </w:r>
      <w:r>
        <w:rPr>
          <w:rFonts w:hint="eastAsia"/>
          <w:color w:val="FF0000"/>
          <w:lang w:eastAsia="zh-CN"/>
        </w:rPr>
        <w:t>]</w:t>
      </w:r>
      <w:r>
        <w:rPr>
          <w:rFonts w:hint="eastAsia"/>
          <w:color w:val="FF0000"/>
          <w:lang w:val="en-US" w:eastAsia="zh-CN"/>
        </w:rPr>
        <w:t>.获取和访问路径.</w:t>
      </w:r>
      <w:r>
        <w:rPr>
          <w:rFonts w:hint="eastAsia"/>
          <w:color w:val="215968" w:themeColor="accent5" w:themeShade="80"/>
          <w:lang w:val="en-US" w:eastAsia="zh-CN"/>
        </w:rPr>
        <w:t>永久标识符.</w:t>
      </w:r>
    </w:p>
    <w:p w14:paraId="2AA24225">
      <w:pPr>
        <w:ind w:left="0" w:leftChars="0" w:firstLine="0" w:firstLineChars="0"/>
        <w:jc w:val="both"/>
        <w:rPr>
          <w:rFonts w:hint="eastAsia"/>
        </w:rPr>
      </w:pPr>
      <w:r>
        <w:rPr>
          <w:rFonts w:hint="eastAsia"/>
          <w:color w:val="auto"/>
          <w:lang w:val="en-US" w:eastAsia="zh-CN"/>
        </w:rPr>
        <w:t>[1]</w:t>
      </w:r>
      <w:r>
        <w:rPr>
          <w:rFonts w:hint="eastAsia"/>
        </w:rPr>
        <w:t>肖玲,张雪,王永.数据要素的统计测算方法探究[PP/OL]. PSSXiv(2024-07-02)[2024-09-30]. https://zsyyb.cn/abs/02408.01096.CSTR:32012.36.PSSXiv.202408.01096</w:t>
      </w:r>
    </w:p>
    <w:sectPr>
      <w:headerReference r:id="rId8" w:type="first"/>
      <w:footerReference r:id="rId11" w:type="first"/>
      <w:headerReference r:id="rId6" w:type="default"/>
      <w:footerReference r:id="rId9" w:type="default"/>
      <w:headerReference r:id="rId7" w:type="even"/>
      <w:footerReference r:id="rId10" w:type="even"/>
      <w:pgSz w:w="11906" w:h="16838"/>
      <w:pgMar w:top="1134" w:right="1361" w:bottom="1134" w:left="136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hp" w:date="2021-09-02T10:16:14Z" w:initials="h">
    <w:p w14:paraId="04BD3580">
      <w:pPr>
        <w:pStyle w:val="3"/>
      </w:pPr>
      <w:r>
        <w:rPr>
          <w:sz w:val="20"/>
          <w:szCs w:val="20"/>
          <w:highlight w:val="yellow"/>
        </w:rPr>
        <w:t>题目</w:t>
      </w:r>
      <w:r>
        <w:rPr>
          <w:rFonts w:hint="eastAsia"/>
          <w:sz w:val="20"/>
          <w:szCs w:val="20"/>
          <w:highlight w:val="yellow"/>
          <w:lang w:eastAsia="zh-CN"/>
        </w:rPr>
        <w:t>:</w:t>
      </w:r>
      <w:r>
        <w:rPr>
          <w:sz w:val="20"/>
          <w:szCs w:val="20"/>
        </w:rPr>
        <w:t>一般不超过20个字</w:t>
      </w:r>
    </w:p>
  </w:comment>
  <w:comment w:id="1" w:author="hp" w:date="2021-09-02T09:25:34Z" w:initials="h">
    <w:p w14:paraId="7C1115FB">
      <w:pPr>
        <w:pStyle w:val="3"/>
      </w:pPr>
      <w:r>
        <w:rPr>
          <w:rFonts w:hint="eastAsia"/>
          <w:sz w:val="24"/>
        </w:rPr>
        <w:t>第一作者导师才</w:t>
      </w:r>
      <w:r>
        <w:rPr>
          <w:rFonts w:hint="eastAsia"/>
          <w:sz w:val="24"/>
          <w:lang w:eastAsia="zh-CN"/>
        </w:rPr>
        <w:t>或对文章有所贡献的指导者</w:t>
      </w:r>
      <w:r>
        <w:rPr>
          <w:rFonts w:hint="eastAsia"/>
          <w:sz w:val="24"/>
        </w:rPr>
        <w:t>可以担任通讯作者</w:t>
      </w:r>
      <w:r>
        <w:rPr>
          <w:rFonts w:hint="eastAsia"/>
          <w:sz w:val="24"/>
          <w:lang w:eastAsia="zh-CN"/>
        </w:rPr>
        <w:t>，只能有一名通讯作者</w:t>
      </w:r>
      <w:r>
        <w:rPr>
          <w:rFonts w:hint="eastAsia"/>
          <w:sz w:val="24"/>
        </w:rPr>
        <w:t>。</w:t>
      </w:r>
    </w:p>
  </w:comment>
  <w:comment w:id="2" w:author="hp" w:date="2021-09-02T10:15:33Z" w:initials="h">
    <w:p w14:paraId="442D7853">
      <w:pPr>
        <w:pStyle w:val="3"/>
      </w:pPr>
      <w:r>
        <w:rPr>
          <w:sz w:val="20"/>
          <w:szCs w:val="20"/>
          <w:highlight w:val="yellow"/>
        </w:rPr>
        <w:t>中文摘要</w:t>
      </w:r>
      <w:r>
        <w:rPr>
          <w:sz w:val="20"/>
          <w:szCs w:val="20"/>
        </w:rPr>
        <w:t>200</w:t>
      </w:r>
      <w:r>
        <w:rPr>
          <w:rFonts w:hint="eastAsia"/>
          <w:sz w:val="20"/>
          <w:szCs w:val="20"/>
          <w:lang w:val="en-US" w:eastAsia="zh-CN"/>
        </w:rPr>
        <w:t>~300</w:t>
      </w:r>
      <w:r>
        <w:rPr>
          <w:sz w:val="20"/>
          <w:szCs w:val="20"/>
        </w:rPr>
        <w:t>字左右，应有独立性和自含性，采用第三人称定法，不用“本文”、“作者”等主语。不应出现图表、数学公式；研究报告</w:t>
      </w:r>
      <w:r>
        <w:rPr>
          <w:rFonts w:hint="eastAsia"/>
          <w:sz w:val="20"/>
          <w:szCs w:val="20"/>
          <w:lang w:val="en-US" w:eastAsia="zh-CN"/>
        </w:rPr>
        <w:t>结构式摘要</w:t>
      </w:r>
      <w:r>
        <w:rPr>
          <w:sz w:val="20"/>
          <w:szCs w:val="20"/>
        </w:rPr>
        <w:t>内容</w:t>
      </w:r>
      <w:r>
        <w:rPr>
          <w:rFonts w:hint="eastAsia"/>
          <w:sz w:val="20"/>
          <w:szCs w:val="20"/>
          <w:lang w:val="en-US" w:eastAsia="zh-CN"/>
        </w:rPr>
        <w:t>需包括</w:t>
      </w:r>
      <w:r>
        <w:rPr>
          <w:sz w:val="20"/>
          <w:szCs w:val="20"/>
        </w:rPr>
        <w:t>目的</w:t>
      </w:r>
      <w:r>
        <w:rPr>
          <w:rFonts w:hint="eastAsia"/>
          <w:sz w:val="20"/>
          <w:szCs w:val="20"/>
          <w:lang w:eastAsia="zh-CN"/>
        </w:rPr>
        <w:t>意义</w:t>
      </w:r>
      <w:r>
        <w:rPr>
          <w:sz w:val="20"/>
          <w:szCs w:val="20"/>
        </w:rPr>
        <w:t>、方法、结果和结论。</w:t>
      </w:r>
    </w:p>
  </w:comment>
  <w:comment w:id="3" w:author="hp" w:date="2021-09-02T10:15:13Z" w:initials="h">
    <w:p w14:paraId="392A7A2F">
      <w:pPr>
        <w:pStyle w:val="3"/>
      </w:pPr>
      <w:r>
        <w:rPr>
          <w:sz w:val="20"/>
          <w:szCs w:val="20"/>
          <w:highlight w:val="yellow"/>
        </w:rPr>
        <w:t>关键词</w:t>
      </w:r>
      <w:r>
        <w:rPr>
          <w:rFonts w:hint="eastAsia"/>
          <w:sz w:val="20"/>
          <w:szCs w:val="20"/>
          <w:highlight w:val="yellow"/>
          <w:lang w:eastAsia="zh-CN"/>
        </w:rPr>
        <w:t>:</w:t>
      </w:r>
      <w:r>
        <w:rPr>
          <w:sz w:val="20"/>
          <w:szCs w:val="20"/>
        </w:rPr>
        <w:t>（</w:t>
      </w:r>
      <w:r>
        <w:rPr>
          <w:rFonts w:hint="eastAsia"/>
          <w:sz w:val="20"/>
          <w:szCs w:val="20"/>
          <w:lang w:val="en-US" w:eastAsia="zh-CN"/>
        </w:rPr>
        <w:t>3</w:t>
      </w:r>
      <w:r>
        <w:rPr>
          <w:sz w:val="20"/>
          <w:szCs w:val="20"/>
        </w:rPr>
        <w:t>～8个</w:t>
      </w:r>
      <w:r>
        <w:rPr>
          <w:rFonts w:hint="eastAsia"/>
          <w:sz w:val="20"/>
          <w:szCs w:val="20"/>
          <w:lang w:eastAsia="zh-CN"/>
        </w:rPr>
        <w:t>，建议取上限、从名词委规范名词中选取</w:t>
      </w:r>
      <w:r>
        <w:rPr>
          <w:sz w:val="20"/>
          <w:szCs w:val="20"/>
        </w:rPr>
        <w:t>）</w:t>
      </w:r>
    </w:p>
  </w:comment>
  <w:comment w:id="4" w:author="hp" w:date="2021-09-02T10:14:54Z" w:initials="h">
    <w:p w14:paraId="6A9B1026">
      <w:pPr>
        <w:pStyle w:val="3"/>
      </w:pPr>
      <w:r>
        <w:rPr>
          <w:sz w:val="20"/>
          <w:szCs w:val="20"/>
          <w:highlight w:val="yellow"/>
        </w:rPr>
        <w:t>中图分类号</w:t>
      </w:r>
      <w:r>
        <w:rPr>
          <w:rFonts w:hint="eastAsia"/>
          <w:sz w:val="20"/>
          <w:szCs w:val="20"/>
          <w:highlight w:val="yellow"/>
          <w:lang w:eastAsia="zh-CN"/>
        </w:rPr>
        <w:t>:</w:t>
      </w:r>
      <w:r>
        <w:rPr>
          <w:sz w:val="20"/>
          <w:szCs w:val="20"/>
        </w:rPr>
        <w:t>按中国图书分类法给出本篇文章的中图分类号。</w:t>
      </w:r>
    </w:p>
  </w:comment>
  <w:comment w:id="5" w:author="hp" w:date="2021-09-02T09:46:44Z" w:initials="h">
    <w:p w14:paraId="6D032B6F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英文姓大写，名首字母大写其他小写</w:t>
      </w:r>
    </w:p>
  </w:comment>
  <w:comment w:id="6" w:author="hp" w:date="2021-09-02T10:14:20Z" w:initials="h">
    <w:p w14:paraId="63E77E08">
      <w:pPr>
        <w:pStyle w:val="3"/>
      </w:pPr>
      <w:r>
        <w:rPr>
          <w:sz w:val="20"/>
          <w:szCs w:val="20"/>
          <w:highlight w:val="yellow"/>
        </w:rPr>
        <w:t>英文摘要</w:t>
      </w:r>
      <w:r>
        <w:rPr>
          <w:sz w:val="20"/>
          <w:szCs w:val="20"/>
        </w:rPr>
        <w:t>内容与中文内容一致。</w:t>
      </w:r>
    </w:p>
  </w:comment>
  <w:comment w:id="7" w:author="hp" w:date="2021-09-02T09:55:28Z" w:initials="h">
    <w:p w14:paraId="718F58F1">
      <w:pPr>
        <w:pStyle w:val="3"/>
        <w:numPr>
          <w:ilvl w:val="0"/>
          <w:numId w:val="1"/>
        </w:numPr>
        <w:rPr>
          <w:rFonts w:hint="eastAsia"/>
        </w:rPr>
      </w:pPr>
      <w:r>
        <w:rPr>
          <w:rFonts w:hint="eastAsia"/>
          <w:highlight w:val="yellow"/>
        </w:rPr>
        <w:t>引言</w:t>
      </w:r>
      <w:r>
        <w:rPr>
          <w:rFonts w:hint="eastAsia"/>
        </w:rPr>
        <w:t>的内容主要包括研究的目的、意义、主要方法、范围、背景、相关领域的前人研究历史与国内外研究现状等。</w:t>
      </w:r>
    </w:p>
    <w:p w14:paraId="61B43D74">
      <w:pPr>
        <w:pStyle w:val="3"/>
        <w:rPr>
          <w:rFonts w:hint="eastAsia"/>
        </w:rPr>
      </w:pPr>
      <w:r>
        <w:rPr>
          <w:rFonts w:hint="eastAsia"/>
          <w:highlight w:val="yellow"/>
        </w:rPr>
        <w:t>②</w:t>
      </w:r>
      <w:r>
        <w:rPr>
          <w:rFonts w:hint="eastAsia"/>
        </w:rPr>
        <w:t>其次是理论依据和实验设备基础、预期目标、本课题在学科领域中所占的地位、对他人已有成果的评价及相互关系、新概念和新术语的定义等等。这些内容可根据具体情况进行取舍,不必逐一作答或涉及。</w:t>
      </w:r>
    </w:p>
    <w:p w14:paraId="4EA6419B">
      <w:pPr>
        <w:pStyle w:val="3"/>
        <w:rPr>
          <w:rFonts w:hint="eastAsia"/>
        </w:rPr>
      </w:pPr>
      <w:r>
        <w:rPr>
          <w:rFonts w:hint="eastAsia"/>
          <w:highlight w:val="yellow"/>
        </w:rPr>
        <w:t>③</w:t>
      </w:r>
      <w:r>
        <w:rPr>
          <w:rFonts w:hint="eastAsia"/>
        </w:rPr>
        <w:t>写作要求突出重点。引言应言简意赅、开门见山,各项内容只需一语道破;一般教科书上已有的知识，或人所共知、显而易见的功用或意义，在引言中不必赘述，重点写好目的、意义和背景。</w:t>
      </w:r>
    </w:p>
    <w:p w14:paraId="3CBB2931">
      <w:pPr>
        <w:pStyle w:val="3"/>
      </w:pPr>
      <w:r>
        <w:rPr>
          <w:rFonts w:hint="eastAsia"/>
          <w:highlight w:val="yellow"/>
        </w:rPr>
        <w:t>④</w:t>
      </w:r>
      <w:r>
        <w:rPr>
          <w:rFonts w:hint="eastAsia"/>
        </w:rPr>
        <w:t>引言不宜太长</w:t>
      </w:r>
      <w:r>
        <w:rPr>
          <w:rFonts w:hint="eastAsia"/>
          <w:lang w:eastAsia="zh-CN"/>
        </w:rPr>
        <w:t>，不要出现图表</w:t>
      </w:r>
      <w:r>
        <w:rPr>
          <w:rFonts w:hint="eastAsia"/>
        </w:rPr>
        <w:t>。</w:t>
      </w:r>
    </w:p>
  </w:comment>
  <w:comment w:id="8" w:author="王小二" w:date="2026-05-20T09:13:36Z" w:initials="">
    <w:p w14:paraId="6D65FE3F">
      <w:pPr>
        <w:pStyle w:val="3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非公知英文缩写首次出现按“中文名称（英文名称，英文缩写）”格式书写。</w:t>
      </w:r>
    </w:p>
  </w:comment>
  <w:comment w:id="9" w:author="hp" w:date="2021-09-02T09:57:09Z" w:initials="h">
    <w:p w14:paraId="45FA600D">
      <w:pPr>
        <w:pStyle w:val="3"/>
      </w:pPr>
      <w:r>
        <w:rPr>
          <w:rFonts w:hint="eastAsia"/>
        </w:rPr>
        <w:t>参考文献在文章顺序编码，序号之间以“-”连接，标注序号上标。</w:t>
      </w:r>
    </w:p>
  </w:comment>
  <w:comment w:id="10" w:author="王小二" w:date="2026-05-21T10:12:22Z" w:initials="">
    <w:p w14:paraId="7A81DD1D">
      <w:pPr>
        <w:pStyle w:val="3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型号加设备名称</w:t>
      </w:r>
    </w:p>
  </w:comment>
  <w:comment w:id="11" w:author="王小二" w:date="2026-05-21T10:12:57Z" w:initials="">
    <w:p w14:paraId="235DA957">
      <w:pPr>
        <w:pStyle w:val="3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公司厂家全称，国外的加国别</w:t>
      </w:r>
    </w:p>
  </w:comment>
  <w:comment w:id="12" w:author="hp" w:date="2021-09-02T10:21:48Z" w:initials="h">
    <w:p w14:paraId="00642777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数字与单位间两分空</w:t>
      </w:r>
    </w:p>
  </w:comment>
  <w:comment w:id="13" w:author="hp" w:date="2021-09-02T10:22:44Z" w:initials="h">
    <w:p w14:paraId="5B4C17E1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波浪线连接</w:t>
      </w:r>
    </w:p>
  </w:comment>
  <w:comment w:id="14" w:author="hp" w:date="2021-09-02T10:25:27Z" w:initials="h">
    <w:p w14:paraId="54976153">
      <w:pPr>
        <w:pStyle w:val="3"/>
      </w:pPr>
      <w:r>
        <w:rPr>
          <w:sz w:val="20"/>
          <w:szCs w:val="20"/>
          <w:highlight w:val="yellow"/>
        </w:rPr>
        <w:t>量和单位</w:t>
      </w:r>
      <w:r>
        <w:rPr>
          <w:rFonts w:hint="eastAsia"/>
          <w:sz w:val="20"/>
          <w:szCs w:val="20"/>
          <w:highlight w:val="yellow"/>
          <w:lang w:eastAsia="zh-CN"/>
        </w:rPr>
        <w:t>:</w:t>
      </w:r>
      <w:r>
        <w:rPr>
          <w:sz w:val="20"/>
          <w:szCs w:val="20"/>
        </w:rPr>
        <w:t>请使用法定计量单位，量名称及符号、单位、数字的用法等应符合国家标准，书写要规范化，并注明外文字母的大小写、正斜体及上下角标</w:t>
      </w:r>
    </w:p>
  </w:comment>
  <w:comment w:id="15" w:author="hp" w:date="2021-09-02T13:13:02Z" w:initials="h">
    <w:p w14:paraId="2CE04831">
      <w:pPr>
        <w:pStyle w:val="3"/>
      </w:pPr>
      <w:r>
        <w:rPr>
          <w:rFonts w:hint="eastAsia"/>
          <w:bCs/>
          <w:lang w:eastAsia="zh-CN"/>
        </w:rPr>
        <w:t>结果与</w:t>
      </w:r>
      <w:r>
        <w:rPr>
          <w:rFonts w:hint="eastAsia"/>
          <w:bCs/>
          <w:lang w:val="en-US" w:eastAsia="zh-CN"/>
        </w:rPr>
        <w:t>分析</w:t>
      </w:r>
      <w:r>
        <w:rPr>
          <w:rFonts w:hint="eastAsia"/>
          <w:bCs/>
          <w:lang w:eastAsia="zh-CN"/>
        </w:rPr>
        <w:t>是研究文章的重要组成</w:t>
      </w:r>
      <w:r>
        <w:rPr>
          <w:rFonts w:hint="eastAsia"/>
          <w:bCs/>
        </w:rPr>
        <w:t>部分，作者应该真实、准确、客观地描述实验观察到的结果，并提供所测定的具体数据。对于实验所观察到的结果，一定要实事求是地叙述，无论正面或反面、阴性或阳性的结果，均应客观报道，而不能根据自己的主观意愿随意取舍。但也要避免将所有数据和盘托出、简单罗列的做法，对于实验数据的叙述要分清主次，并应对实验数据进行统计学处理与分析，以找出规律性的信息。</w:t>
      </w:r>
    </w:p>
  </w:comment>
  <w:comment w:id="16" w:author="hp" w:date="2021-09-02T11:59:56Z" w:initials="h">
    <w:p w14:paraId="39CF094C">
      <w:pPr>
        <w:pStyle w:val="3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图表与文章的关联需在文中标示出来。</w:t>
      </w:r>
    </w:p>
  </w:comment>
  <w:comment w:id="17" w:author="hp" w:date="2021-09-02T11:53:34Z" w:initials="h">
    <w:p w14:paraId="302E675A">
      <w:pPr>
        <w:pStyle w:val="3"/>
      </w:pPr>
      <w:r>
        <w:rPr>
          <w:sz w:val="20"/>
          <w:szCs w:val="20"/>
          <w:highlight w:val="yellow"/>
        </w:rPr>
        <w:t>表</w:t>
      </w:r>
      <w:r>
        <w:rPr>
          <w:sz w:val="20"/>
          <w:szCs w:val="20"/>
        </w:rPr>
        <w:t>用三线表。表格应设计正确、简洁、合理，表项应尽量简化。表中数字须上下对齐，相邻栏内数字相同时不能用“``”或“同上”、“同左、右”等，应一一标注。如实测为零，就标注“0”，未测或无此项（该栏为空白）或未发现，就标注“</w:t>
      </w:r>
      <w:r>
        <w:rPr>
          <w:rFonts w:hint="eastAsia" w:ascii="Times New Roman" w:hAnsi="Times New Roman" w:cs="Times New Roman"/>
          <w:color w:val="000000"/>
          <w:kern w:val="0"/>
          <w:sz w:val="15"/>
          <w:szCs w:val="15"/>
        </w:rPr>
        <w:t>-</w:t>
      </w:r>
      <w:r>
        <w:rPr>
          <w:sz w:val="20"/>
          <w:szCs w:val="20"/>
        </w:rPr>
        <w:t>”实测为痕量或可略而不计，应注明。</w:t>
      </w:r>
    </w:p>
  </w:comment>
  <w:comment w:id="18" w:author="hp" w:date="2021-09-02T11:53:09Z" w:initials="h">
    <w:p w14:paraId="4B717547">
      <w:pPr>
        <w:pStyle w:val="3"/>
      </w:pPr>
      <w:r>
        <w:rPr>
          <w:sz w:val="20"/>
          <w:szCs w:val="20"/>
        </w:rPr>
        <w:t>表内不设“备注”栏，需要说明的事项，可用简炼文字附注于表格底线下方。表中注释，可用“*”号。</w:t>
      </w:r>
    </w:p>
  </w:comment>
  <w:comment w:id="19" w:author="hp" w:date="2021-09-02T10:44:14Z" w:initials="h">
    <w:p w14:paraId="26DA0C00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常量正体，变量斜体</w:t>
      </w:r>
    </w:p>
  </w:comment>
  <w:comment w:id="20" w:author="hp" w:date="2021-09-02T12:41:03Z" w:initials="h">
    <w:p w14:paraId="7C5D0FA8"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文中图片请提供原图，图中的文字图形比例，线条粗细应适中。位图分辨率不应低于300dpi/inch，格式可为jpeg,tif,bmp;矢量图格式可为eps,cdr。</w:t>
      </w:r>
    </w:p>
    <w:p w14:paraId="5FE60753">
      <w:pPr>
        <w:pStyle w:val="3"/>
        <w:rPr>
          <w:rFonts w:hint="default"/>
          <w:lang w:val="en-US" w:eastAsia="zh-CN"/>
        </w:rPr>
      </w:pPr>
      <w:r>
        <w:rPr>
          <w:sz w:val="20"/>
          <w:szCs w:val="20"/>
        </w:rPr>
        <w:t>纵横坐标的标值、标值线必须写清，标目应使用标准的物理量和单位符号。</w:t>
      </w:r>
    </w:p>
  </w:comment>
  <w:comment w:id="21" w:author="hp" w:date="2021-09-02T14:47:58Z" w:initials="h">
    <w:p w14:paraId="01C263BA">
      <w:pPr>
        <w:pStyle w:val="3"/>
        <w:rPr>
          <w:rFonts w:hint="eastAsia"/>
        </w:rPr>
      </w:pPr>
      <w:r>
        <w:rPr>
          <w:rFonts w:hint="eastAsia"/>
        </w:rPr>
        <w:t>文献数量，</w:t>
      </w:r>
      <w:r>
        <w:rPr>
          <w:rFonts w:hint="eastAsia"/>
          <w:lang w:eastAsia="zh-CN"/>
        </w:rPr>
        <w:t>实验</w:t>
      </w:r>
      <w:r>
        <w:rPr>
          <w:rFonts w:hint="eastAsia"/>
        </w:rPr>
        <w:t>报告不能少于</w:t>
      </w:r>
      <w:r>
        <w:rPr>
          <w:rFonts w:hint="eastAsia"/>
          <w:highlight w:val="yellow"/>
        </w:rPr>
        <w:t>10</w:t>
      </w:r>
      <w:r>
        <w:rPr>
          <w:rFonts w:hint="eastAsia"/>
        </w:rPr>
        <w:t>篇，研究进展不能少于</w:t>
      </w:r>
      <w:r>
        <w:rPr>
          <w:rFonts w:hint="eastAsia"/>
          <w:highlight w:val="yellow"/>
        </w:rPr>
        <w:t>30</w:t>
      </w:r>
      <w:r>
        <w:rPr>
          <w:rFonts w:hint="eastAsia"/>
        </w:rPr>
        <w:t>篇</w:t>
      </w:r>
      <w:r>
        <w:rPr>
          <w:rFonts w:hint="eastAsia"/>
          <w:lang w:eastAsia="zh-CN"/>
        </w:rPr>
        <w:t>，需包括近三年的外文文献</w:t>
      </w:r>
      <w:r>
        <w:rPr>
          <w:rFonts w:hint="eastAsia"/>
        </w:rPr>
        <w:t>。</w:t>
      </w:r>
    </w:p>
    <w:p w14:paraId="19277490">
      <w:pPr>
        <w:pStyle w:val="3"/>
        <w:rPr>
          <w:rFonts w:hint="eastAsia" w:eastAsia="宋体"/>
          <w:highlight w:val="yellow"/>
          <w:lang w:eastAsia="zh-CN"/>
        </w:rPr>
      </w:pPr>
      <w:r>
        <w:rPr>
          <w:rFonts w:hint="eastAsia"/>
          <w:highlight w:val="yellow"/>
          <w:lang w:eastAsia="zh-CN"/>
        </w:rPr>
        <w:t>参考文献不得缺少著录项。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04BD3580" w15:done="0"/>
  <w15:commentEx w15:paraId="7C1115FB" w15:done="0"/>
  <w15:commentEx w15:paraId="442D7853" w15:done="0"/>
  <w15:commentEx w15:paraId="392A7A2F" w15:done="0"/>
  <w15:commentEx w15:paraId="6A9B1026" w15:done="0"/>
  <w15:commentEx w15:paraId="6D032B6F" w15:done="0"/>
  <w15:commentEx w15:paraId="63E77E08" w15:done="0"/>
  <w15:commentEx w15:paraId="3CBB2931" w15:done="0"/>
  <w15:commentEx w15:paraId="6D65FE3F" w15:done="0"/>
  <w15:commentEx w15:paraId="45FA600D" w15:done="0"/>
  <w15:commentEx w15:paraId="7A81DD1D" w15:done="0"/>
  <w15:commentEx w15:paraId="235DA957" w15:done="0"/>
  <w15:commentEx w15:paraId="00642777" w15:done="0"/>
  <w15:commentEx w15:paraId="5B4C17E1" w15:done="0"/>
  <w15:commentEx w15:paraId="54976153" w15:done="0"/>
  <w15:commentEx w15:paraId="2CE04831" w15:done="0"/>
  <w15:commentEx w15:paraId="39CF094C" w15:done="0"/>
  <w15:commentEx w15:paraId="302E675A" w15:done="0"/>
  <w15:commentEx w15:paraId="4B717547" w15:done="0"/>
  <w15:commentEx w15:paraId="26DA0C00" w15:done="0"/>
  <w15:commentEx w15:paraId="5FE60753" w15:done="0"/>
  <w15:commentEx w15:paraId="1927749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楷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46E75F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9DEE4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65BC88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2E5198A3">
      <w:pPr>
        <w:rPr>
          <w:rFonts w:hint="default" w:eastAsia="宋体"/>
          <w:lang w:val="en-US" w:eastAsia="zh-CN"/>
        </w:rPr>
      </w:pPr>
      <w:r>
        <w:rPr>
          <w:rFonts w:hint="eastAsia" w:ascii="黑体" w:hAnsi="黑体" w:eastAsia="黑体" w:cs="黑体"/>
          <w:color w:val="465C38"/>
        </w:rPr>
        <w:t>收稿日期</w:t>
      </w:r>
      <w:r>
        <w:rPr>
          <w:rFonts w:hint="eastAsia" w:ascii="黑体" w:hAnsi="黑体" w:eastAsia="黑体" w:cs="黑体"/>
          <w:color w:val="465C38"/>
          <w:lang w:eastAsia="zh-CN"/>
        </w:rPr>
        <w:t>:</w:t>
      </w:r>
      <w:r>
        <w:rPr>
          <w:rFonts w:hint="eastAsia"/>
          <w:lang w:val="en-US" w:eastAsia="zh-CN"/>
        </w:rPr>
        <w:t>****-**-**</w:t>
      </w:r>
    </w:p>
    <w:p w14:paraId="6EA55F5B">
      <w:pPr>
        <w:rPr>
          <w:rFonts w:hint="eastAsia"/>
        </w:rPr>
      </w:pPr>
      <w:r>
        <w:rPr>
          <w:rFonts w:hint="eastAsia" w:ascii="黑体" w:hAnsi="黑体" w:eastAsia="黑体" w:cs="黑体"/>
          <w:color w:val="465C38"/>
        </w:rPr>
        <w:t>基金项目</w:t>
      </w:r>
      <w:r>
        <w:rPr>
          <w:rFonts w:hint="eastAsia" w:ascii="黑体" w:hAnsi="黑体" w:eastAsia="黑体" w:cs="黑体"/>
          <w:color w:val="465C38"/>
          <w:lang w:eastAsia="zh-CN"/>
        </w:rPr>
        <w:t>:</w:t>
      </w:r>
      <w:r>
        <w:rPr>
          <w:rFonts w:hint="eastAsia"/>
        </w:rPr>
        <w:t>135国家重点研发计划（2017YFC</w:t>
      </w:r>
      <w:r>
        <w:rPr>
          <w:rFonts w:hint="eastAsia"/>
          <w:lang w:val="en-US" w:eastAsia="zh-CN"/>
        </w:rPr>
        <w:t>****</w:t>
      </w:r>
      <w:r>
        <w:rPr>
          <w:rFonts w:hint="eastAsia"/>
        </w:rPr>
        <w:t>）。</w:t>
      </w:r>
    </w:p>
    <w:p w14:paraId="34E26A66">
      <w:pPr>
        <w:rPr>
          <w:rFonts w:hint="eastAsia"/>
        </w:rPr>
      </w:pPr>
      <w:r>
        <w:rPr>
          <w:rFonts w:hint="eastAsia" w:ascii="黑体" w:hAnsi="黑体" w:eastAsia="黑体" w:cs="黑体"/>
          <w:color w:val="465C38"/>
        </w:rPr>
        <w:t>作者简介</w:t>
      </w:r>
      <w:r>
        <w:rPr>
          <w:rFonts w:hint="eastAsia" w:ascii="黑体" w:hAnsi="黑体" w:eastAsia="黑体" w:cs="黑体"/>
          <w:color w:val="465C38"/>
          <w:lang w:eastAsia="zh-CN"/>
        </w:rPr>
        <w:t>:</w:t>
      </w:r>
      <w:r>
        <w:rPr>
          <w:rFonts w:hint="eastAsia"/>
        </w:rPr>
        <w:t>牛**（出生年</w:t>
      </w:r>
      <w:r>
        <w:rPr>
          <w:rFonts w:hint="eastAsia"/>
          <w:lang w:eastAsia="zh-CN"/>
        </w:rPr>
        <w:t>—</w:t>
      </w:r>
      <w:r>
        <w:rPr>
          <w:rFonts w:hint="eastAsia"/>
        </w:rPr>
        <w:t>），性别，职称，学历，研究方向为</w:t>
      </w:r>
      <w:r>
        <w:rPr>
          <w:rFonts w:hint="eastAsia"/>
          <w:lang w:val="en-US" w:eastAsia="zh-CN"/>
        </w:rPr>
        <w:t>**</w:t>
      </w:r>
      <w:r>
        <w:rPr>
          <w:rFonts w:hint="eastAsia"/>
        </w:rPr>
        <w:t xml:space="preserve">。E-mail: </w:t>
      </w:r>
    </w:p>
    <w:p w14:paraId="6AEED0EE">
      <w:r>
        <w:rPr>
          <w:rFonts w:hint="eastAsia" w:ascii="黑体" w:hAnsi="黑体" w:eastAsia="黑体" w:cs="黑体"/>
          <w:color w:val="465C38"/>
          <w:lang w:val="en-US" w:eastAsia="zh-CN"/>
        </w:rPr>
        <w:t>*通信</w:t>
      </w:r>
      <w:r>
        <w:rPr>
          <w:rFonts w:hint="eastAsia" w:ascii="黑体" w:hAnsi="黑体" w:eastAsia="黑体" w:cs="黑体"/>
          <w:color w:val="465C38"/>
        </w:rPr>
        <w:t>作者</w:t>
      </w:r>
      <w:r>
        <w:rPr>
          <w:rFonts w:hint="eastAsia" w:ascii="黑体" w:hAnsi="黑体" w:eastAsia="黑体" w:cs="黑体"/>
          <w:color w:val="465C38"/>
          <w:lang w:eastAsia="zh-CN"/>
        </w:rPr>
        <w:t>:</w:t>
      </w:r>
      <w:r>
        <w:rPr>
          <w:rFonts w:hint="eastAsia"/>
        </w:rPr>
        <w:t>杨*，性别，职称，学历，研究方向为</w:t>
      </w:r>
      <w:r>
        <w:rPr>
          <w:rFonts w:hint="eastAsia"/>
          <w:lang w:val="en-US" w:eastAsia="zh-CN"/>
        </w:rPr>
        <w:t>**</w:t>
      </w:r>
      <w:r>
        <w:rPr>
          <w:rFonts w:hint="eastAsia"/>
        </w:rPr>
        <w:t xml:space="preserve">。E-mail: </w:t>
      </w:r>
    </w:p>
    <w:p w14:paraId="33940D63">
      <w:pPr>
        <w:pStyle w:val="7"/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02AF89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4CC42C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166E6E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5D34D3"/>
    <w:multiLevelType w:val="multilevel"/>
    <w:tmpl w:val="0A5D34D3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30E7BF"/>
    <w:multiLevelType w:val="singleLevel"/>
    <w:tmpl w:val="2D30E7BF"/>
    <w:lvl w:ilvl="0" w:tentative="0">
      <w:start w:val="1"/>
      <w:numFmt w:val="decimal"/>
      <w:lvlText w:val="(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hp">
    <w15:presenceInfo w15:providerId="None" w15:userId="hp"/>
  </w15:person>
  <w15:person w15:author="王小二">
    <w15:presenceInfo w15:providerId="WPS Office" w15:userId="16214768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4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2ODgyYjA2ZTA4YzljOWQwNzJiOTY1YmJlY2ZkMDkifQ=="/>
  </w:docVars>
  <w:rsids>
    <w:rsidRoot w:val="00CA6DF8"/>
    <w:rsid w:val="00014D1F"/>
    <w:rsid w:val="00087459"/>
    <w:rsid w:val="000E6246"/>
    <w:rsid w:val="001141AC"/>
    <w:rsid w:val="0017528F"/>
    <w:rsid w:val="001B5273"/>
    <w:rsid w:val="002C6EE2"/>
    <w:rsid w:val="003A4B2A"/>
    <w:rsid w:val="00401E99"/>
    <w:rsid w:val="00403537"/>
    <w:rsid w:val="00403BD5"/>
    <w:rsid w:val="00424A75"/>
    <w:rsid w:val="00553740"/>
    <w:rsid w:val="0056195E"/>
    <w:rsid w:val="00593B8B"/>
    <w:rsid w:val="005F5BDB"/>
    <w:rsid w:val="00697681"/>
    <w:rsid w:val="006F654A"/>
    <w:rsid w:val="007339FC"/>
    <w:rsid w:val="00810896"/>
    <w:rsid w:val="008352C9"/>
    <w:rsid w:val="0087372E"/>
    <w:rsid w:val="008743BA"/>
    <w:rsid w:val="008C06C4"/>
    <w:rsid w:val="009254D9"/>
    <w:rsid w:val="009311E6"/>
    <w:rsid w:val="009A27AE"/>
    <w:rsid w:val="00A40521"/>
    <w:rsid w:val="00AE4426"/>
    <w:rsid w:val="00BA600D"/>
    <w:rsid w:val="00BC17C0"/>
    <w:rsid w:val="00C2653C"/>
    <w:rsid w:val="00CA6DF8"/>
    <w:rsid w:val="00CB3980"/>
    <w:rsid w:val="00CC0CE5"/>
    <w:rsid w:val="00D66689"/>
    <w:rsid w:val="00EC49D6"/>
    <w:rsid w:val="00EC6978"/>
    <w:rsid w:val="00EE6F03"/>
    <w:rsid w:val="00F00DC0"/>
    <w:rsid w:val="00F3140D"/>
    <w:rsid w:val="00FC16F7"/>
    <w:rsid w:val="02263013"/>
    <w:rsid w:val="057072D7"/>
    <w:rsid w:val="09D902FE"/>
    <w:rsid w:val="12855B35"/>
    <w:rsid w:val="16CE5960"/>
    <w:rsid w:val="171B0776"/>
    <w:rsid w:val="1B9539BD"/>
    <w:rsid w:val="1EEB57A3"/>
    <w:rsid w:val="28723C55"/>
    <w:rsid w:val="28970F2A"/>
    <w:rsid w:val="2D940DB4"/>
    <w:rsid w:val="35032CFC"/>
    <w:rsid w:val="42EA1C1C"/>
    <w:rsid w:val="434652BD"/>
    <w:rsid w:val="43D76103"/>
    <w:rsid w:val="44792100"/>
    <w:rsid w:val="4B01340C"/>
    <w:rsid w:val="4F1F7A58"/>
    <w:rsid w:val="5338075A"/>
    <w:rsid w:val="55274206"/>
    <w:rsid w:val="57B1418D"/>
    <w:rsid w:val="58E46F27"/>
    <w:rsid w:val="5C187BE6"/>
    <w:rsid w:val="5D772EE8"/>
    <w:rsid w:val="5FB27B78"/>
    <w:rsid w:val="608416F8"/>
    <w:rsid w:val="61EA0E7D"/>
    <w:rsid w:val="65D84292"/>
    <w:rsid w:val="674C7A2E"/>
    <w:rsid w:val="68C17855"/>
    <w:rsid w:val="690B2939"/>
    <w:rsid w:val="79C21F1A"/>
    <w:rsid w:val="7A5B5327"/>
    <w:rsid w:val="7ADF3256"/>
    <w:rsid w:val="7E87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100" w:beforeLines="100" w:after="100" w:afterLines="100"/>
      <w:outlineLvl w:val="0"/>
    </w:pPr>
    <w:rPr>
      <w:rFonts w:ascii="Times New Roman" w:hAnsi="Times New Roman" w:eastAsia="宋体"/>
      <w:b/>
      <w:bCs/>
      <w:kern w:val="44"/>
      <w:sz w:val="19"/>
      <w:szCs w:val="4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semiHidden/>
    <w:qFormat/>
    <w:uiPriority w:val="0"/>
    <w:pPr>
      <w:jc w:val="left"/>
    </w:pPr>
  </w:style>
  <w:style w:type="paragraph" w:styleId="4">
    <w:name w:val="Balloon Text"/>
    <w:basedOn w:val="1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footnote text"/>
    <w:basedOn w:val="1"/>
    <w:autoRedefine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9">
    <w:name w:val="annotation subject"/>
    <w:basedOn w:val="3"/>
    <w:next w:val="3"/>
    <w:autoRedefine/>
    <w:semiHidden/>
    <w:qFormat/>
    <w:uiPriority w:val="0"/>
    <w:rPr>
      <w:b/>
      <w:bCs/>
    </w:rPr>
  </w:style>
  <w:style w:type="character" w:styleId="12">
    <w:name w:val="Strong"/>
    <w:basedOn w:val="11"/>
    <w:autoRedefine/>
    <w:qFormat/>
    <w:uiPriority w:val="0"/>
    <w:rPr>
      <w:b/>
      <w:bCs/>
    </w:rPr>
  </w:style>
  <w:style w:type="character" w:styleId="13">
    <w:name w:val="Hyperlink"/>
    <w:basedOn w:val="11"/>
    <w:unhideWhenUsed/>
    <w:qFormat/>
    <w:uiPriority w:val="0"/>
    <w:rPr>
      <w:color w:val="0000FF"/>
      <w:u w:val="single"/>
    </w:rPr>
  </w:style>
  <w:style w:type="character" w:styleId="14">
    <w:name w:val="annotation reference"/>
    <w:basedOn w:val="11"/>
    <w:semiHidden/>
    <w:qFormat/>
    <w:uiPriority w:val="0"/>
    <w:rPr>
      <w:sz w:val="21"/>
      <w:szCs w:val="21"/>
    </w:rPr>
  </w:style>
  <w:style w:type="character" w:styleId="15">
    <w:name w:val="footnote reference"/>
    <w:basedOn w:val="11"/>
    <w:autoRedefine/>
    <w:semiHidden/>
    <w:qFormat/>
    <w:uiPriority w:val="0"/>
    <w:rPr>
      <w:vertAlign w:val="superscript"/>
    </w:rPr>
  </w:style>
  <w:style w:type="character" w:customStyle="1" w:styleId="16">
    <w:name w:val=" Char Char2"/>
    <w:basedOn w:val="11"/>
    <w:qFormat/>
    <w:uiPriority w:val="0"/>
    <w:rPr>
      <w:kern w:val="2"/>
      <w:sz w:val="18"/>
      <w:szCs w:val="18"/>
    </w:rPr>
  </w:style>
  <w:style w:type="character" w:customStyle="1" w:styleId="17">
    <w:name w:val=" Char Char1"/>
    <w:basedOn w:val="11"/>
    <w:qFormat/>
    <w:uiPriority w:val="0"/>
    <w:rPr>
      <w:kern w:val="2"/>
      <w:sz w:val="18"/>
      <w:szCs w:val="18"/>
    </w:rPr>
  </w:style>
  <w:style w:type="paragraph" w:customStyle="1" w:styleId="18">
    <w:name w:val="h11"/>
    <w:basedOn w:val="1"/>
    <w:qFormat/>
    <w:uiPriority w:val="0"/>
    <w:pPr>
      <w:widowControl/>
      <w:jc w:val="center"/>
    </w:pPr>
    <w:rPr>
      <w:rFonts w:ascii="宋体" w:hAnsi="宋体" w:cs="宋体"/>
      <w:b/>
      <w:bCs/>
      <w:kern w:val="0"/>
      <w:sz w:val="24"/>
    </w:rPr>
  </w:style>
  <w:style w:type="character" w:customStyle="1" w:styleId="19">
    <w:name w:val=" Char Char"/>
    <w:basedOn w:val="11"/>
    <w:qFormat/>
    <w:uiPriority w:val="0"/>
    <w:rPr>
      <w:kern w:val="2"/>
      <w:sz w:val="18"/>
      <w:szCs w:val="18"/>
    </w:rPr>
  </w:style>
  <w:style w:type="character" w:customStyle="1" w:styleId="20">
    <w:name w:val="font3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1">
    <w:name w:val="font11"/>
    <w:autoRedefine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2">
    <w:name w:val="font0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1.xml"/><Relationship Id="rId8" Type="http://schemas.openxmlformats.org/officeDocument/2006/relationships/header" Target="header3.xml"/><Relationship Id="rId7" Type="http://schemas.openxmlformats.org/officeDocument/2006/relationships/header" Target="header2.xml"/><Relationship Id="rId6" Type="http://schemas.openxmlformats.org/officeDocument/2006/relationships/header" Target="header1.xml"/><Relationship Id="rId5" Type="http://schemas.openxmlformats.org/officeDocument/2006/relationships/footnotes" Target="footnotes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9" Type="http://schemas.microsoft.com/office/2011/relationships/people" Target="people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4.tiff"/><Relationship Id="rId15" Type="http://schemas.openxmlformats.org/officeDocument/2006/relationships/image" Target="media/image3.tiff"/><Relationship Id="rId14" Type="http://schemas.openxmlformats.org/officeDocument/2006/relationships/image" Target="media/image2.tiff"/><Relationship Id="rId13" Type="http://schemas.openxmlformats.org/officeDocument/2006/relationships/image" Target="media/image1.tiff"/><Relationship Id="rId12" Type="http://schemas.openxmlformats.org/officeDocument/2006/relationships/theme" Target="theme/theme1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3939</Words>
  <Characters>7490</Characters>
  <Lines>56</Lines>
  <Paragraphs>15</Paragraphs>
  <TotalTime>35</TotalTime>
  <ScaleCrop>false</ScaleCrop>
  <LinksUpToDate>false</LinksUpToDate>
  <CharactersWithSpaces>7967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2019-03-19T02:14:00Z</dcterms:created>
  <dc:creator>微软用户</dc:creator>
  <cp:lastModifiedBy>王小二</cp:lastModifiedBy>
  <cp:lastPrinted>2010-06-17T02:39:00Z</cp:lastPrinted>
  <dcterms:modified xsi:type="dcterms:W3CDTF">2026-05-27T01:27:05Z</dcterms:modified>
  <dc:title>附件2   中文写作模板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4B3F2E5486D445A29B1924D076142857_13</vt:lpwstr>
  </property>
  <property fmtid="{D5CDD505-2E9C-101B-9397-08002B2CF9AE}" pid="4" name="KSOTemplateDocerSaveRecord">
    <vt:lpwstr>eyJoZGlkIjoiYjNjZmJjYWQ0MzgxOWFjZmJkOWIxYjNhMjJkZmIxNDgiLCJ1c2VySWQiOiI0NDIxMzI1OTYifQ==</vt:lpwstr>
  </property>
</Properties>
</file>